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新时期下天津社区教育发展对策研究</w:t>
      </w:r>
    </w:p>
    <w:p>
      <w:pPr>
        <w:autoSpaceDE w:val="0"/>
        <w:autoSpaceDN w:val="0"/>
        <w:adjustRightInd w:val="0"/>
        <w:spacing w:line="320" w:lineRule="exact"/>
        <w:jc w:val="center"/>
        <w:rPr>
          <w:rFonts w:hint="eastAsia" w:ascii="黑体" w:hAnsi="宋体" w:eastAsia="黑体"/>
          <w:b/>
          <w:bCs/>
          <w:color w:val="000000"/>
          <w:sz w:val="32"/>
          <w:szCs w:val="32"/>
        </w:rPr>
      </w:pPr>
    </w:p>
    <w:p>
      <w:pPr>
        <w:autoSpaceDE w:val="0"/>
        <w:autoSpaceDN w:val="0"/>
        <w:adjustRightInd w:val="0"/>
        <w:spacing w:line="32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张敏</w:t>
      </w:r>
      <w:r>
        <w:rPr>
          <w:rFonts w:hint="eastAsia" w:asciiTheme="majorEastAsia" w:hAnsiTheme="majorEastAsia" w:eastAsiaTheme="majorEastAsia" w:cstheme="majorEastAsia"/>
          <w:color w:val="000000"/>
          <w:position w:val="-4"/>
          <w:sz w:val="24"/>
          <w:szCs w:val="24"/>
        </w:rPr>
        <w:object>
          <v:shape id="_x0000_i1025" o:spt="75" type="#_x0000_t75" style="height:15pt;width:6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heme="majorEastAsia" w:hAnsiTheme="majorEastAsia" w:eastAsiaTheme="majorEastAsia" w:cstheme="majorEastAsia"/>
          <w:color w:val="000000"/>
          <w:position w:val="-4"/>
          <w:sz w:val="24"/>
          <w:szCs w:val="24"/>
          <w:lang w:val="en-US" w:eastAsia="zh-CN"/>
        </w:rPr>
        <w:t xml:space="preserve"> </w:t>
      </w:r>
      <w:r>
        <w:rPr>
          <w:rFonts w:hint="eastAsia" w:asciiTheme="majorEastAsia" w:hAnsiTheme="majorEastAsia" w:eastAsiaTheme="majorEastAsia" w:cstheme="majorEastAsia"/>
          <w:color w:val="000000"/>
          <w:sz w:val="24"/>
          <w:szCs w:val="24"/>
        </w:rPr>
        <w:t>（1天津海运职业学院，天津市  300350）</w:t>
      </w:r>
    </w:p>
    <w:p>
      <w:pPr>
        <w:autoSpaceDE w:val="0"/>
        <w:autoSpaceDN w:val="0"/>
        <w:adjustRightInd w:val="0"/>
        <w:spacing w:line="320" w:lineRule="exact"/>
        <w:rPr>
          <w:rFonts w:hint="eastAsia" w:asciiTheme="majorEastAsia" w:hAnsiTheme="majorEastAsia" w:eastAsiaTheme="majorEastAsia" w:cstheme="majorEastAsia"/>
          <w:b/>
          <w:kern w:val="0"/>
          <w:sz w:val="24"/>
          <w:szCs w:val="24"/>
        </w:rPr>
      </w:pPr>
    </w:p>
    <w:p>
      <w:pPr>
        <w:spacing w:line="320" w:lineRule="exact"/>
        <w:ind w:firstLine="472" w:firstLineChars="196"/>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摘要：</w:t>
      </w:r>
      <w:r>
        <w:rPr>
          <w:rFonts w:hint="eastAsia" w:asciiTheme="majorEastAsia" w:hAnsiTheme="majorEastAsia" w:eastAsiaTheme="majorEastAsia" w:cstheme="majorEastAsia"/>
          <w:sz w:val="24"/>
          <w:szCs w:val="24"/>
        </w:rPr>
        <w:t>本文以解决新时期下人才短缺的问题为切入点，提出了发展社区教育的思路。立足于天津社区教育的发展状况，从可操作的层面开展了教育社区化的研究工作。充分运用客观评价，提炼出社区教育存在的问题，提出了一系列具体化、可操作的建设措施，从而为提升社区教育的满意度奠定基础。</w:t>
      </w:r>
    </w:p>
    <w:p>
      <w:pPr>
        <w:spacing w:line="320" w:lineRule="exact"/>
        <w:ind w:firstLine="472" w:firstLineChars="196"/>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color w:val="000000"/>
          <w:sz w:val="24"/>
          <w:szCs w:val="24"/>
        </w:rPr>
        <w:t>关键词：</w:t>
      </w:r>
      <w:r>
        <w:rPr>
          <w:rFonts w:hint="eastAsia" w:asciiTheme="majorEastAsia" w:hAnsiTheme="majorEastAsia" w:eastAsiaTheme="majorEastAsia" w:cstheme="majorEastAsia"/>
          <w:color w:val="000000"/>
          <w:sz w:val="24"/>
          <w:szCs w:val="24"/>
        </w:rPr>
        <w:t>社区教育；一带一路；学分银行</w:t>
      </w:r>
    </w:p>
    <w:p>
      <w:pPr>
        <w:spacing w:line="32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color w:val="FF0000"/>
          <w:sz w:val="24"/>
          <w:szCs w:val="24"/>
        </w:rPr>
        <w:t xml:space="preserve">  </w:t>
      </w:r>
      <w:r>
        <w:rPr>
          <w:rFonts w:hint="eastAsia" w:asciiTheme="majorEastAsia" w:hAnsiTheme="majorEastAsia" w:eastAsiaTheme="majorEastAsia" w:cstheme="majorEastAsia"/>
          <w:b/>
          <w:sz w:val="24"/>
          <w:szCs w:val="24"/>
        </w:rPr>
        <w:t xml:space="preserve">  一、引言</w:t>
      </w:r>
    </w:p>
    <w:p>
      <w:pPr>
        <w:widowControl/>
        <w:ind w:firstLine="465" w:firstLineChars="194"/>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共产党第十九次全国代表大会提出，深化供给侧结构性改革，优化存量资源配置，扩大优质增量供给，实现供需动态平衡。在经济结构转型升级的关键时期，社会对于人才的需求亦会随之进行调整。《国家教育事业发展“十三五”规划》就明确表示，必须把教育的结构性改革作为主线，主动适应经济社会发展和人民群众的需求，要优化人才供给结构，创新教育供给方式，整体提升教育服务经济社会发展的能力。</w:t>
      </w:r>
    </w:p>
    <w:p>
      <w:pPr>
        <w:widowControl/>
        <w:ind w:firstLine="465" w:firstLineChars="194"/>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区教育是终身教育的一项有效实施手段。《天津市城乡社区服务体系建设规划（2017－2020年）》指出，要全面贯彻党的十九大精神和习近平新时代中国特色社会主义思想，以供给侧结构性改革为动力，推动天津市城乡社区服务精细化、专业化、标准化，构建设施完备、组织健全、主体多元、供给充分、群众满意的城乡社区服务体系，让城乡居民共享全面建成高质量小康社会的发展成果。</w:t>
      </w:r>
    </w:p>
    <w:p>
      <w:pPr>
        <w:widowControl/>
        <w:ind w:firstLine="465" w:firstLineChars="194"/>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在文献研究方面，有关社区教育的资源比较丰富。以国外为例，自20世纪初美国人德威(Deway)率先提出了“社区教育”这一理念后，开启了职业学院针对社区教育进行专门研究的纪元，如1925 年由库斯完成的著作——《初等学院运动》，为后续有关初级学院的研究产生了深远的影响</w:t>
      </w:r>
      <w:r>
        <w:rPr>
          <w:rFonts w:hint="eastAsia" w:asciiTheme="majorEastAsia" w:hAnsiTheme="majorEastAsia" w:eastAsiaTheme="majorEastAsia" w:cstheme="majorEastAsia"/>
          <w:sz w:val="24"/>
          <w:szCs w:val="24"/>
          <w:vertAlign w:val="superscript"/>
        </w:rPr>
        <w:t>[1]</w:t>
      </w:r>
      <w:r>
        <w:rPr>
          <w:rFonts w:hint="eastAsia" w:asciiTheme="majorEastAsia" w:hAnsiTheme="majorEastAsia" w:eastAsiaTheme="majorEastAsia" w:cstheme="majorEastAsia"/>
          <w:sz w:val="24"/>
          <w:szCs w:val="24"/>
        </w:rPr>
        <w:t>。20 世纪60 年代，小格利泽写了《这就是社区学院》和《社区学院：价值、远景和活力》，分析了美国发展社区学院的意义，并预测了其发展趋势及前景</w:t>
      </w:r>
      <w:r>
        <w:rPr>
          <w:rFonts w:hint="eastAsia" w:asciiTheme="majorEastAsia" w:hAnsiTheme="majorEastAsia" w:eastAsiaTheme="majorEastAsia" w:cstheme="majorEastAsia"/>
          <w:sz w:val="24"/>
          <w:szCs w:val="24"/>
          <w:vertAlign w:val="superscript"/>
        </w:rPr>
        <w:t>[2]</w:t>
      </w:r>
      <w:r>
        <w:rPr>
          <w:rFonts w:hint="eastAsia" w:asciiTheme="majorEastAsia" w:hAnsiTheme="majorEastAsia" w:eastAsiaTheme="majorEastAsia" w:cstheme="majorEastAsia"/>
          <w:sz w:val="24"/>
          <w:szCs w:val="24"/>
        </w:rPr>
        <w:t>。</w:t>
      </w:r>
    </w:p>
    <w:p>
      <w:pPr>
        <w:widowControl/>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我国也开展了关于社区教育发展的研究，如刘志忠认为，随着社会的进步与发展，高职院校将逐渐拓展社区化教学的服务，最终形成社区主导模式</w:t>
      </w:r>
      <w:r>
        <w:rPr>
          <w:rFonts w:hint="eastAsia" w:asciiTheme="majorEastAsia" w:hAnsiTheme="majorEastAsia" w:eastAsiaTheme="majorEastAsia" w:cstheme="majorEastAsia"/>
          <w:sz w:val="24"/>
          <w:szCs w:val="24"/>
          <w:vertAlign w:val="superscript"/>
        </w:rPr>
        <w:t>[3]</w:t>
      </w:r>
      <w:r>
        <w:rPr>
          <w:rFonts w:hint="eastAsia" w:asciiTheme="majorEastAsia" w:hAnsiTheme="majorEastAsia" w:eastAsiaTheme="majorEastAsia" w:cstheme="majorEastAsia"/>
          <w:sz w:val="24"/>
          <w:szCs w:val="24"/>
        </w:rPr>
        <w:t>。边海娇通过分析美国职业教育进入社区教学的研究，结合其建设经验，提出了有关职业教育在我国社区教育运行的建议</w:t>
      </w:r>
      <w:r>
        <w:rPr>
          <w:rFonts w:hint="eastAsia" w:asciiTheme="majorEastAsia" w:hAnsiTheme="majorEastAsia" w:eastAsiaTheme="majorEastAsia" w:cstheme="majorEastAsia"/>
          <w:sz w:val="24"/>
          <w:szCs w:val="24"/>
          <w:vertAlign w:val="superscript"/>
        </w:rPr>
        <w:t>[4]</w:t>
      </w:r>
      <w:r>
        <w:rPr>
          <w:rFonts w:hint="eastAsia" w:asciiTheme="majorEastAsia" w:hAnsiTheme="majorEastAsia" w:eastAsiaTheme="majorEastAsia" w:cstheme="majorEastAsia"/>
          <w:sz w:val="24"/>
          <w:szCs w:val="24"/>
        </w:rPr>
        <w:t>。</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现有的研究文献中针对存在问题的宏观描述较多，但并未真正落实到实际操作层面上。</w:t>
      </w:r>
    </w:p>
    <w:p>
      <w:pPr>
        <w:autoSpaceDE w:val="0"/>
        <w:autoSpaceDN w:val="0"/>
        <w:adjustRightInd w:val="0"/>
        <w:spacing w:line="320" w:lineRule="exact"/>
        <w:ind w:firstLine="472" w:firstLineChars="196"/>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kern w:val="0"/>
          <w:sz w:val="24"/>
          <w:szCs w:val="24"/>
        </w:rPr>
        <w:t>二、</w:t>
      </w:r>
      <w:r>
        <w:rPr>
          <w:rFonts w:hint="eastAsia" w:asciiTheme="majorEastAsia" w:hAnsiTheme="majorEastAsia" w:eastAsiaTheme="majorEastAsia" w:cstheme="majorEastAsia"/>
          <w:b/>
          <w:bCs/>
          <w:kern w:val="0"/>
          <w:sz w:val="24"/>
          <w:szCs w:val="24"/>
        </w:rPr>
        <w:t>天津社区教育的发展现状</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天津市目前已拥有5个国家级社区教育示范区，5个国家级社区教育实验区，形成了社区学院、社区学校与社区学校分校三层联动的办学网络。</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照《天津市教育事业发展第十二个五年规划》，针对社区教育发展提出的目标“鼓励各级各类学校与社区、单位组织紧密结合，建设各种形式的继续教育基地，推动学校和社区教育资源相互开放和共享。完善社区教育网络，重点建设10个示范性社区学院、100个示范性社区学校和500个社区村镇型数字化学习中心，形成城乡一体化的社区教育网络体系。”任务，全市社区教育已经取得了很多成果，规划的目标任务中，有些项目已提前超额完成，有些项目也已接近完成</w:t>
      </w:r>
      <w:r>
        <w:rPr>
          <w:rFonts w:hint="eastAsia" w:asciiTheme="majorEastAsia" w:hAnsiTheme="majorEastAsia" w:eastAsiaTheme="majorEastAsia" w:cstheme="majorEastAsia"/>
          <w:sz w:val="24"/>
          <w:szCs w:val="24"/>
          <w:vertAlign w:val="superscript"/>
        </w:rPr>
        <w:t>[5]</w:t>
      </w:r>
      <w:r>
        <w:rPr>
          <w:rFonts w:hint="eastAsia" w:asciiTheme="majorEastAsia" w:hAnsiTheme="majorEastAsia" w:eastAsiaTheme="majorEastAsia" w:cstheme="majorEastAsia"/>
          <w:sz w:val="24"/>
          <w:szCs w:val="24"/>
        </w:rPr>
        <w:t>。</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区加大了教学资源库的建设力度，通过网络学习等数字化教育形式，积极引进国内外的优质教育资源，使网站资源日益丰富。远程教育网络的开发建设，扩大了社区教育的覆盖面，让居民身在家中或社区，就能方便地通过网络完成学习内容。数字化教育形式的建设和启用，是社区的福音，让大学的优质教育资源得到了更为广泛、高效的辐射。</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天津市第十届社区教育展示周暨2016年全民终身学习活动周中，集中展演六大板块22项大型活动，全市16个区共组织200项各具特色的活动。同时，表彰了当年天津市当选全国及天津市的“百姓学习之星”和“终身学习活动品牌”，认定并展示了河北区“e家园”市民学习成果，完成了对天津城市职业学院职教集团服务终身学习展示暨教养结合老年教育学习中心的授牌活动。有力推广了全民终身学习内容，充分体现出“全民体验、全民阅读、全民学习、全民发声和全民参与”的五个全民目标。</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2017年天津市社区教育指导中心正式设立，让市民不出社区，即可享受终身学习资源与服务。截至2018年3月，天津市共有120个街道，127个乡镇，1717个城市社区，农村社区建设覆盖面不断扩大。目前，天津城市职业学院已经开展了有关社区学院社区教育信息化模式的研究，服务学习型社会建设，成果显著。但天津市社区教育理论还不多，尤其缺乏对天津市社区教育进行系统深入研究的著作。</w:t>
      </w:r>
    </w:p>
    <w:p>
      <w:pPr>
        <w:ind w:firstLine="472"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rPr>
        <w:t>三、天津社区教育的不足之处</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津社区教育的发展仍存在一些不足。据教育部职成司成教处处长黄辉介绍，截至2015年7月，我国当前有180个国家级社区教育实验区和示范区，约500个省级实验区和示范区，这些总数不到全国总区县数量的1/4。在开展全国社区教育满意度调查时，将各地满意度排名与当地人均GDP排名对比，并不成正比。如广东、辽宁、天津等地的满意度则落后本省GDP排名</w:t>
      </w:r>
      <w:r>
        <w:rPr>
          <w:rFonts w:hint="eastAsia" w:asciiTheme="majorEastAsia" w:hAnsiTheme="majorEastAsia" w:eastAsiaTheme="majorEastAsia" w:cstheme="majorEastAsia"/>
          <w:sz w:val="24"/>
          <w:szCs w:val="24"/>
          <w:vertAlign w:val="superscript"/>
        </w:rPr>
        <w:t>[6]</w:t>
      </w:r>
      <w:r>
        <w:rPr>
          <w:rFonts w:hint="eastAsia" w:asciiTheme="majorEastAsia" w:hAnsiTheme="majorEastAsia" w:eastAsiaTheme="majorEastAsia" w:cstheme="majorEastAsia"/>
          <w:sz w:val="24"/>
          <w:szCs w:val="24"/>
        </w:rPr>
        <w:t>。</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（一）</w:t>
      </w:r>
      <w:r>
        <w:rPr>
          <w:rFonts w:hint="eastAsia" w:asciiTheme="majorEastAsia" w:hAnsiTheme="majorEastAsia" w:eastAsiaTheme="majorEastAsia" w:cstheme="majorEastAsia"/>
          <w:sz w:val="24"/>
          <w:szCs w:val="24"/>
        </w:rPr>
        <w:t>课程满意度有待加强</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相当一部分被调查的社区教育受访者对于所学课程内容并不满意。反映了社区教育存在活动形式多、而实效甚少的问题。究其原因，不满意之处大多数在于认为社区教育的课程内容安排方面有所欠缺，集中表现在未考虑社区学生的学习需要，而是为完成一些例行工作而开展的活动，因而群众接受程度不高。</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（二）</w:t>
      </w:r>
      <w:r>
        <w:rPr>
          <w:rFonts w:hint="eastAsia" w:asciiTheme="majorEastAsia" w:hAnsiTheme="majorEastAsia" w:eastAsiaTheme="majorEastAsia" w:cstheme="majorEastAsia"/>
          <w:sz w:val="24"/>
          <w:szCs w:val="24"/>
        </w:rPr>
        <w:t>课程针对性有待加强</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过调研，超过一半的受访者在社区教育对于更感兴趣的培训选择方面，选择了工作技能类和学历提升类培训。而实际社区教育的培训课程设置中，工作技能类和学历提升类培训比例较低。据调查，社区学校、学院教授课程的形式仍旧以理论讲解、灌输知识为主。这样的授课过程，使得社区学生在理论认识和实际操作层面上无法实现协调统一，造成社区学生被动接受知识，发现、研究和解决问题的学习能力低下等现象，不利于社区学生对于社会经验的获知和实践动手能力的提高，甚至可能抹煞了其接受继续教育的激情与动力。</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（三）</w:t>
      </w:r>
      <w:r>
        <w:rPr>
          <w:rFonts w:hint="eastAsia" w:asciiTheme="majorEastAsia" w:hAnsiTheme="majorEastAsia" w:eastAsiaTheme="majorEastAsia" w:cstheme="majorEastAsia"/>
          <w:sz w:val="24"/>
          <w:szCs w:val="24"/>
        </w:rPr>
        <w:t>参与的广泛度有待提高</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与度是社区教育能够实现可持续发展的根基。而当前学习者在社区教育中的参与程度较低。工作需要和个人爱好是社区居民参与社区教育的最主要的原因。如果能开发出更多学习者所需要的课程，可以有效提升学习者对于社区教育的兴趣，从而实现积极主动地参与社区教育的新态势。</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（四）</w:t>
      </w:r>
      <w:r>
        <w:rPr>
          <w:rFonts w:hint="eastAsia" w:asciiTheme="majorEastAsia" w:hAnsiTheme="majorEastAsia" w:eastAsiaTheme="majorEastAsia" w:cstheme="majorEastAsia"/>
          <w:sz w:val="24"/>
          <w:szCs w:val="24"/>
        </w:rPr>
        <w:t>办学影响力有待加强</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区学院作为一种新型的教育实体，一般社区活动的老年人居多，教育影响力略显不足。加之缺少对社区教育系统的深入研究和适当整合，各种教育资源利用水平还比较低，因而社区教育服务水平呈现出层次不高、特色不明的特点。因此，社区学院要想发展壮大，扩大在社会的影响力，应加强与外界的合作联系和资源共享，为自身发展积累更多的社会教育资源。尤其在推进城乡一体化的建设过程中，应针对农村社区教育服务意识的淡漠与薄弱，加强社区办学的影响力，从而解决社区发展水平参差不齐的问题。</w:t>
      </w:r>
    </w:p>
    <w:p>
      <w:pPr>
        <w:ind w:firstLine="472"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rPr>
        <w:t>四、天津社区教育发展的建设思路</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新时期下社区教育的发展应在深化内涵上下功夫，结合天津的发展特点和实际需要，适可将社区职业化教育作为特色加以推进。</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首先，要彰显产业特色。在“一带一路”的发展氛围中，围绕天津作为重要基地所急需的职业发展岗位来确定培训方向，开展职业技术与技能培训。适可通过统筹规划，根据办学条件的评估要求和标准，采取垂直管理方式，科学指派开放型职业院校开办社区职业教育。</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次，要转型办学资源。挖掘“一带一路”政策相关的企业资源，利用天津各行政区划下的电大、学习中心、社区教育实验基地等，作为支持社区职业教育办学体系的骨干力量，组织编写社区职业教育课程，开展相关教育培训。通过扩大社区教育覆盖面，让更多的群众明确实施“一带一路”政策的发展前景，增加居民群众的社会认同感和服务意识，增强学习和提高相关技能的热情和动力，实现社区办学效益最优化。</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要提倡社会办学。要重视行业企业的专业学院、院校和社会力量资助、合作的学习中心，注重结合实际，全面考虑群众的需求，针对不同对象，如对弱势群体开展下岗再就业培训。社区教育还要加强与行业企业的合作，根据需要开设专业。通过与相关院校，尤其是职业院校共享课程资源，开发建设特色课程。</w:t>
      </w:r>
    </w:p>
    <w:p>
      <w:pPr>
        <w:autoSpaceDE w:val="0"/>
        <w:autoSpaceDN w:val="0"/>
        <w:adjustRightInd w:val="0"/>
        <w:spacing w:line="320" w:lineRule="exact"/>
        <w:ind w:firstLine="472" w:firstLineChars="196"/>
        <w:jc w:val="left"/>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五、</w:t>
      </w:r>
      <w:r>
        <w:rPr>
          <w:rFonts w:hint="eastAsia" w:asciiTheme="majorEastAsia" w:hAnsiTheme="majorEastAsia" w:eastAsiaTheme="majorEastAsia" w:cstheme="majorEastAsia"/>
          <w:b/>
          <w:bCs/>
          <w:kern w:val="0"/>
          <w:sz w:val="24"/>
          <w:szCs w:val="24"/>
        </w:rPr>
        <w:t>天津社区教育发展的建设意见</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在新的历史时期，应认真研究社区教育发展的深层次问题，科学地制定工作任务，是一个必须面对的重大课题。</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（一）</w:t>
      </w:r>
      <w:r>
        <w:rPr>
          <w:rFonts w:hint="eastAsia" w:asciiTheme="majorEastAsia" w:hAnsiTheme="majorEastAsia" w:eastAsiaTheme="majorEastAsia" w:cstheme="majorEastAsia"/>
          <w:sz w:val="24"/>
          <w:szCs w:val="24"/>
        </w:rPr>
        <w:t>加快社区教育的资源整合进度　</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农村社区综合服务中心，开展由职业教育院校、开放大学等各类培训机构筹办的社区教育活动，开拓社区教育项目建设。注重拓展社区综合服务中心（站）的社区教育功能，通过统筹设施资源、共享信息服务、发掘教育内涵，使其逐渐建设成为农村社区教育的重要支柱。　</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充分利用社会资源，探索开放、可持续发展的资源共享模式，梳理本市范围内各高校、尤其是职业院校的优质课程资源，制定并完善适合社区教育的课程标准、教学资源和资源共享制度，实现资源的优化配置与共享共用。</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（二）</w:t>
      </w:r>
      <w:r>
        <w:rPr>
          <w:rFonts w:hint="eastAsia" w:asciiTheme="majorEastAsia" w:hAnsiTheme="majorEastAsia" w:eastAsiaTheme="majorEastAsia" w:cstheme="majorEastAsia"/>
          <w:sz w:val="24"/>
          <w:szCs w:val="24"/>
        </w:rPr>
        <w:t>丰富社区教育的内容形式　　</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津的社区教育内容应从单一的“社区课程”向多层次、多方面的“课程社区”转变，让社区教育课程成为社区学生爱听愿听、踊跃参与、探索研究的深度课程。按照“引进来”的思路，邀请教育部门、民政部门、财政部门、人社部门、科技部门、体育部门、文化部门等的负责人等走进社区为社区学生讲课。以专题为核心，多名不同领域的教师采用“项链模式”进行协同授课，开展多元化的社区教育活动，比如参观实践、知识竞赛、才艺展示、互问互答等，提升社区学生的学习品质。</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（三）</w:t>
      </w:r>
      <w:r>
        <w:rPr>
          <w:rFonts w:hint="eastAsia" w:asciiTheme="majorEastAsia" w:hAnsiTheme="majorEastAsia" w:eastAsiaTheme="majorEastAsia" w:cstheme="majorEastAsia"/>
          <w:sz w:val="24"/>
          <w:szCs w:val="24"/>
        </w:rPr>
        <w:t>提高社区教育的服务能力　</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提高社区教育的服务能力方面，上海成立的终身学习体验基地做法，值得借鉴学习和应用推广。上海市教委着眼于市民的终身学习和城市发展，联合文广、宣传、科委等部门，共享了高校和区县等社会优质的公共教育和文化资源，搭建了体验式、互动式的市民自主学习平台。</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重点面向农民工和各类残疾人士，有针对性地广泛开展道德法治、文明诚信、安全教育、健康讲堂、就业择业、创业管理、技能提升等方面的教育培训，加快其融入城镇社区生活的进程，让社区职业教育步入国际化发展轨道，特别是在“一带一路”战略服务方面发挥更大的作用。</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（四）</w:t>
      </w:r>
      <w:r>
        <w:rPr>
          <w:rFonts w:hint="eastAsia" w:asciiTheme="majorEastAsia" w:hAnsiTheme="majorEastAsia" w:eastAsiaTheme="majorEastAsia" w:cstheme="majorEastAsia"/>
          <w:sz w:val="24"/>
          <w:szCs w:val="24"/>
        </w:rPr>
        <w:t>注重社区教育的跟踪评价</w:t>
      </w:r>
    </w:p>
    <w:p>
      <w:pPr>
        <w:autoSpaceDE w:val="0"/>
        <w:autoSpaceDN w:val="0"/>
        <w:adjustRightInd w:val="0"/>
        <w:spacing w:line="320" w:lineRule="exact"/>
        <w:ind w:firstLine="42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立培养质量反馈机制及保障体系。对已修完社区课程的学生进行评价，可以有效检测社区院校在培养社区学生环节中的效果，进而作为评判是否符合社会需求的重要考量。按照“评价是手段，整改是目的”的建设思路，成立专门的社区教育指导委员会，在每一门社区课程结束后，针对存在的问题，讨论并提出建议方案。定期进行跟踪回访，及时纠正，落实整改。开展新一轮整改回访实施再监督，让存在的问题真正得以有效解决，让社区学生的需求真正得以切实满足，使社区教育的投资资金实现最大化的效益。</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0"/>
          <w:sz w:val="24"/>
          <w:szCs w:val="24"/>
        </w:rPr>
        <w:t>（五）</w:t>
      </w:r>
      <w:r>
        <w:rPr>
          <w:rFonts w:hint="eastAsia" w:asciiTheme="majorEastAsia" w:hAnsiTheme="majorEastAsia" w:eastAsiaTheme="majorEastAsia" w:cstheme="majorEastAsia"/>
          <w:sz w:val="24"/>
          <w:szCs w:val="24"/>
        </w:rPr>
        <w:t>推进学习成果积累转换</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天津教育行政部门适可成立天津市社区教育学分银行，建立面向全市社区教育学生的服务体系，实现学习成果的认证与管理。</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区教育学分银行的职责是建设数字化公共服务平台，为社区学生分配学习账号，使用社区学习卡建立终身学习档案，完成注册报名、学时记录、出勤考核等教学管理，为学习成果认证、积累与转换等开展服务工作。天津市社区教育学分银行可以参考国家开放大学在继续教育学习中，探索出的有关成果认证、积累与转换制度的研究成果，在资源共享、学分互认、网络平台建设等方面吸取经验。通过联合高校、行业、企业和社区教育机构等，运用学分银行机制共同推进教育教学改革探索。进而带动更多的组织和机构参与、推进学分银行建设工作，通过学分银行的纽带作用，打造能够真正实现可积累、可认证、可转换的“商业银行”，实现学历与非学历的沟通对接。</w:t>
      </w:r>
    </w:p>
    <w:p>
      <w:pPr>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期待通过上述方式，社区教育的建设能够立足于天津发展，彰显出天津特色，进而逐步形成布局合理、覆盖城乡的能够全面促进天津“一带一路”建设的特色社区学习中心。</w:t>
      </w:r>
    </w:p>
    <w:p>
      <w:pPr>
        <w:ind w:firstLine="470" w:firstLineChars="196"/>
        <w:rPr>
          <w:rFonts w:hint="eastAsia" w:asciiTheme="majorEastAsia" w:hAnsiTheme="majorEastAsia" w:eastAsiaTheme="majorEastAsia" w:cstheme="majorEastAsia"/>
          <w:sz w:val="24"/>
          <w:szCs w:val="24"/>
        </w:rPr>
      </w:pPr>
    </w:p>
    <w:p>
      <w:pPr>
        <w:autoSpaceDE w:val="0"/>
        <w:autoSpaceDN w:val="0"/>
        <w:adjustRightInd w:val="0"/>
        <w:spacing w:line="320" w:lineRule="exact"/>
        <w:jc w:val="left"/>
        <w:rPr>
          <w:rFonts w:hint="eastAsia" w:asciiTheme="majorEastAsia" w:hAnsiTheme="majorEastAsia" w:eastAsiaTheme="majorEastAsia" w:cstheme="majorEastAsia"/>
          <w:sz w:val="24"/>
          <w:szCs w:val="24"/>
        </w:rPr>
      </w:pPr>
    </w:p>
    <w:p>
      <w:pPr>
        <w:spacing w:line="32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参考文献：</w:t>
      </w:r>
    </w:p>
    <w:p>
      <w:pPr>
        <w:widowControl/>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Cohen. A. M. The American Community College[M] ．San Francisco : Jossey-Bass Publishers, 1987.</w:t>
      </w:r>
    </w:p>
    <w:p>
      <w:pPr>
        <w:widowControl/>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[2]吴雪萍. 国际职业技术教育研究[M] . 杭州：浙江大学出版社，2004.</w:t>
      </w:r>
    </w:p>
    <w:p>
      <w:pPr>
        <w:widowControl/>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[3]刘志忠. 高等职业院校：社区教育的合适载体[J] .教育与职业，2007.</w:t>
      </w:r>
    </w:p>
    <w:p>
      <w:pPr>
        <w:widowControl/>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[4]边海娇. 美国社区学院合作教育的影响因素[J] .科教文汇，2009（32）.</w:t>
      </w:r>
    </w:p>
    <w:p>
      <w:pPr>
        <w:widowControl/>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[5]岳瑛. 天津市老年教育“十二五”期间的发展成果与面临形势和存在问题[J] . 天津市教科院学报，2015（1）.</w:t>
      </w:r>
    </w:p>
    <w:p>
      <w:pPr>
        <w:widowControl/>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[6]人民政协报. 社区教育的好坏与经济发展水平没有必然联系[EB/OL].（2015-07-15）[2016-1-01] http://cppcc.people.com.cn/n/2015/0715/c34948-27310666.html.</w:t>
      </w:r>
    </w:p>
    <w:p>
      <w:pPr>
        <w:autoSpaceDE w:val="0"/>
        <w:autoSpaceDN w:val="0"/>
        <w:adjustRightInd w:val="0"/>
        <w:spacing w:line="320" w:lineRule="exact"/>
        <w:rPr>
          <w:rFonts w:hint="eastAsia" w:asciiTheme="majorEastAsia" w:hAnsiTheme="majorEastAsia" w:eastAsiaTheme="majorEastAsia" w:cstheme="majorEastAsia"/>
          <w:color w:val="FF0000"/>
          <w:kern w:val="0"/>
          <w:sz w:val="24"/>
          <w:szCs w:val="24"/>
        </w:rPr>
      </w:pP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基金项目：</w:t>
      </w:r>
      <w:r>
        <w:rPr>
          <w:rFonts w:hint="eastAsia" w:asciiTheme="majorEastAsia" w:hAnsiTheme="majorEastAsia" w:eastAsiaTheme="majorEastAsia" w:cstheme="majorEastAsia"/>
          <w:sz w:val="24"/>
          <w:szCs w:val="24"/>
        </w:rPr>
        <w:t>天津市教育系统调研课题阶段性成果“职业教育参与社区服务发展路径创新研究”（课题批准号：YB201855196）；全国职业教育科研规划项目阶段性成果“职业教育参与社区服务</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供给侧’结构改革路径研究” （课题批准号：2018QZJ144）</w:t>
      </w:r>
    </w:p>
    <w:p>
      <w:pPr>
        <w:pStyle w:val="7"/>
        <w:spacing w:line="320" w:lineRule="exact"/>
        <w:ind w:firstLine="480" w:firstLineChars="200"/>
        <w:rPr>
          <w:rFonts w:hint="eastAsia" w:asciiTheme="majorEastAsia" w:hAnsiTheme="majorEastAsia" w:eastAsiaTheme="majorEastAsia" w:cstheme="majorEastAsia"/>
          <w:kern w:val="2"/>
          <w:sz w:val="24"/>
          <w:szCs w:val="24"/>
          <w:lang w:eastAsia="zh-CN"/>
        </w:rPr>
      </w:pPr>
    </w:p>
    <w:p>
      <w:pPr>
        <w:pStyle w:val="7"/>
        <w:spacing w:line="320" w:lineRule="exact"/>
        <w:ind w:firstLine="480" w:firstLineChars="200"/>
        <w:rPr>
          <w:rFonts w:hint="eastAsia" w:asciiTheme="majorEastAsia" w:hAnsiTheme="majorEastAsia" w:eastAsiaTheme="majorEastAsia" w:cstheme="majorEastAsia"/>
          <w:kern w:val="2"/>
          <w:sz w:val="24"/>
          <w:szCs w:val="24"/>
        </w:rPr>
      </w:pPr>
    </w:p>
    <w:p>
      <w:pPr>
        <w:autoSpaceDE w:val="0"/>
        <w:autoSpaceDN w:val="0"/>
        <w:adjustRightInd w:val="0"/>
        <w:spacing w:line="320" w:lineRule="exact"/>
        <w:jc w:val="left"/>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Research on the Countermeasures of Tianjin Community Education Development in the New Era</w:t>
      </w:r>
    </w:p>
    <w:p>
      <w:pPr>
        <w:spacing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Zhang Min</w:t>
      </w:r>
    </w:p>
    <w:p>
      <w:pPr>
        <w:spacing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Tianjin Maritime College, Tianjin 300350</w:t>
      </w:r>
    </w:p>
    <w:p>
      <w:pPr>
        <w:spacing w:line="320" w:lineRule="exact"/>
        <w:rPr>
          <w:rFonts w:hint="eastAsia" w:asciiTheme="majorEastAsia" w:hAnsiTheme="majorEastAsia" w:eastAsiaTheme="majorEastAsia" w:cstheme="majorEastAsia"/>
          <w:sz w:val="24"/>
          <w:szCs w:val="24"/>
        </w:rPr>
      </w:pPr>
    </w:p>
    <w:p>
      <w:pPr>
        <w:autoSpaceDE w:val="0"/>
        <w:autoSpaceDN w:val="0"/>
        <w:adjustRightInd w:val="0"/>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Abstract:</w:t>
      </w:r>
      <w:r>
        <w:rPr>
          <w:rFonts w:hint="eastAsia" w:asciiTheme="majorEastAsia" w:hAnsiTheme="majorEastAsia" w:eastAsiaTheme="majorEastAsia" w:cstheme="majorEastAsia"/>
          <w:sz w:val="24"/>
          <w:szCs w:val="24"/>
        </w:rPr>
        <w:t xml:space="preserve"> This paper puts forward the idea of developing community education in order to solve the problem of talent shortage in the new period. Based on the development of community education in Tianjin, the paper carries out the research from the operational level of educational community. The paper makes full use of objective evaluation, extracts the problems of community education, and puts forward a series of specific and operational construction measures, so as to lay the foundation to enhance the satisfaction of community education.</w:t>
      </w:r>
    </w:p>
    <w:p>
      <w:pPr>
        <w:autoSpaceDE w:val="0"/>
        <w:autoSpaceDN w:val="0"/>
        <w:adjustRightInd w:val="0"/>
        <w:spacing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kern w:val="0"/>
          <w:sz w:val="24"/>
          <w:szCs w:val="24"/>
        </w:rPr>
        <w:t>Key words:</w:t>
      </w:r>
      <w:r>
        <w:rPr>
          <w:rFonts w:hint="eastAsia" w:asciiTheme="majorEastAsia" w:hAnsiTheme="majorEastAsia" w:eastAsiaTheme="majorEastAsia" w:cstheme="majorEastAsia"/>
          <w:sz w:val="24"/>
          <w:szCs w:val="24"/>
        </w:rPr>
        <w:t xml:space="preserve"> Community education；The Belt and Road；Credit bank</w:t>
      </w:r>
    </w:p>
    <w:p>
      <w:pPr>
        <w:autoSpaceDE w:val="0"/>
        <w:autoSpaceDN w:val="0"/>
        <w:adjustRightInd w:val="0"/>
        <w:spacing w:line="320" w:lineRule="exact"/>
        <w:jc w:val="left"/>
        <w:rPr>
          <w:rFonts w:hint="eastAsia" w:asciiTheme="majorEastAsia" w:hAnsiTheme="majorEastAsia" w:eastAsiaTheme="majorEastAsia" w:cstheme="majorEastAsia"/>
          <w:sz w:val="24"/>
          <w:szCs w:val="24"/>
        </w:rPr>
      </w:pPr>
    </w:p>
    <w:p>
      <w:pPr>
        <w:autoSpaceDE w:val="0"/>
        <w:autoSpaceDN w:val="0"/>
        <w:adjustRightInd w:val="0"/>
        <w:spacing w:line="320" w:lineRule="exact"/>
        <w:jc w:val="left"/>
        <w:rPr>
          <w:rFonts w:hint="eastAsia" w:asciiTheme="majorEastAsia" w:hAnsiTheme="majorEastAsia" w:eastAsiaTheme="majorEastAsia" w:cstheme="majorEastAsia"/>
          <w:sz w:val="24"/>
          <w:szCs w:val="24"/>
        </w:rPr>
      </w:pPr>
    </w:p>
    <w:p>
      <w:pPr>
        <w:pStyle w:val="7"/>
        <w:spacing w:line="32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作者简介：</w:t>
      </w:r>
      <w:r>
        <w:rPr>
          <w:rFonts w:hint="eastAsia" w:asciiTheme="majorEastAsia" w:hAnsiTheme="majorEastAsia" w:eastAsiaTheme="majorEastAsia" w:cstheme="majorEastAsia"/>
          <w:kern w:val="2"/>
          <w:sz w:val="24"/>
          <w:szCs w:val="24"/>
        </w:rPr>
        <w:t>张敏（1983-），女，内蒙古包头市人，天津海运职业学院</w:t>
      </w:r>
      <w:r>
        <w:rPr>
          <w:rFonts w:hint="eastAsia" w:asciiTheme="majorEastAsia" w:hAnsiTheme="majorEastAsia" w:eastAsiaTheme="majorEastAsia" w:cstheme="majorEastAsia"/>
          <w:kern w:val="2"/>
          <w:sz w:val="24"/>
          <w:szCs w:val="24"/>
          <w:lang w:eastAsia="zh-CN"/>
        </w:rPr>
        <w:t>副教授</w:t>
      </w:r>
      <w:r>
        <w:rPr>
          <w:rFonts w:hint="eastAsia" w:asciiTheme="majorEastAsia" w:hAnsiTheme="majorEastAsia" w:eastAsiaTheme="majorEastAsia" w:cstheme="majorEastAsia"/>
          <w:kern w:val="2"/>
          <w:sz w:val="24"/>
          <w:szCs w:val="24"/>
        </w:rPr>
        <w:t>，硕士，主要研究港口与航运管理。</w:t>
      </w:r>
    </w:p>
    <w:p>
      <w:pPr>
        <w:autoSpaceDE w:val="0"/>
        <w:autoSpaceDN w:val="0"/>
        <w:adjustRightInd w:val="0"/>
        <w:spacing w:line="320" w:lineRule="exact"/>
        <w:ind w:firstLine="420" w:firstLineChars="200"/>
        <w:jc w:val="left"/>
        <w:rPr>
          <w:rFonts w:hint="eastAsia" w:ascii="Arial" w:hAnsi="Arial" w:cs="Arial"/>
          <w:color w:val="FF000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NewRomanPS-Bold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05"/>
    <w:rsid w:val="00002552"/>
    <w:rsid w:val="00004330"/>
    <w:rsid w:val="000104C3"/>
    <w:rsid w:val="00013AA1"/>
    <w:rsid w:val="00015644"/>
    <w:rsid w:val="00022263"/>
    <w:rsid w:val="00026BCE"/>
    <w:rsid w:val="00030A50"/>
    <w:rsid w:val="0004691F"/>
    <w:rsid w:val="0005033D"/>
    <w:rsid w:val="0005250C"/>
    <w:rsid w:val="00053202"/>
    <w:rsid w:val="00060D1F"/>
    <w:rsid w:val="0006108D"/>
    <w:rsid w:val="0006193D"/>
    <w:rsid w:val="0006232F"/>
    <w:rsid w:val="000646B2"/>
    <w:rsid w:val="00071264"/>
    <w:rsid w:val="00073170"/>
    <w:rsid w:val="00075B48"/>
    <w:rsid w:val="000804B2"/>
    <w:rsid w:val="00080EF5"/>
    <w:rsid w:val="00091471"/>
    <w:rsid w:val="00094609"/>
    <w:rsid w:val="00097001"/>
    <w:rsid w:val="000A0FB4"/>
    <w:rsid w:val="000A2D0D"/>
    <w:rsid w:val="000A31C3"/>
    <w:rsid w:val="000A5C77"/>
    <w:rsid w:val="000A7E03"/>
    <w:rsid w:val="000B56A9"/>
    <w:rsid w:val="000C0695"/>
    <w:rsid w:val="000C10AC"/>
    <w:rsid w:val="000C2577"/>
    <w:rsid w:val="000C3BE1"/>
    <w:rsid w:val="000C522E"/>
    <w:rsid w:val="000C5458"/>
    <w:rsid w:val="000D3DB7"/>
    <w:rsid w:val="000D6BA6"/>
    <w:rsid w:val="000D7EF7"/>
    <w:rsid w:val="000E0B58"/>
    <w:rsid w:val="000E1084"/>
    <w:rsid w:val="000E1D60"/>
    <w:rsid w:val="000F3056"/>
    <w:rsid w:val="000F5299"/>
    <w:rsid w:val="000F5953"/>
    <w:rsid w:val="00101AFB"/>
    <w:rsid w:val="00101D3D"/>
    <w:rsid w:val="001026AB"/>
    <w:rsid w:val="00104831"/>
    <w:rsid w:val="00105927"/>
    <w:rsid w:val="00105FDE"/>
    <w:rsid w:val="00107B5B"/>
    <w:rsid w:val="001103A4"/>
    <w:rsid w:val="0011313D"/>
    <w:rsid w:val="00121F68"/>
    <w:rsid w:val="001235D3"/>
    <w:rsid w:val="00125F08"/>
    <w:rsid w:val="0013217A"/>
    <w:rsid w:val="00142334"/>
    <w:rsid w:val="001424F7"/>
    <w:rsid w:val="001429BA"/>
    <w:rsid w:val="001434E9"/>
    <w:rsid w:val="00144C0C"/>
    <w:rsid w:val="00147E80"/>
    <w:rsid w:val="00160F79"/>
    <w:rsid w:val="00174A96"/>
    <w:rsid w:val="00181B12"/>
    <w:rsid w:val="00184C4A"/>
    <w:rsid w:val="00186CB1"/>
    <w:rsid w:val="00187F3B"/>
    <w:rsid w:val="00191582"/>
    <w:rsid w:val="0019490F"/>
    <w:rsid w:val="00194D32"/>
    <w:rsid w:val="00197E46"/>
    <w:rsid w:val="001A1A88"/>
    <w:rsid w:val="001A1DBC"/>
    <w:rsid w:val="001A2FC2"/>
    <w:rsid w:val="001A3A3D"/>
    <w:rsid w:val="001A6DFF"/>
    <w:rsid w:val="001A749F"/>
    <w:rsid w:val="001B256F"/>
    <w:rsid w:val="001B4D24"/>
    <w:rsid w:val="001B7E1C"/>
    <w:rsid w:val="001C1B43"/>
    <w:rsid w:val="001C1BE5"/>
    <w:rsid w:val="001C426D"/>
    <w:rsid w:val="001C5999"/>
    <w:rsid w:val="001D120A"/>
    <w:rsid w:val="001D590C"/>
    <w:rsid w:val="001D5B14"/>
    <w:rsid w:val="001D6773"/>
    <w:rsid w:val="001D77D7"/>
    <w:rsid w:val="001D7A32"/>
    <w:rsid w:val="001E1CD7"/>
    <w:rsid w:val="001E50B3"/>
    <w:rsid w:val="001F1996"/>
    <w:rsid w:val="001F1B08"/>
    <w:rsid w:val="001F3F12"/>
    <w:rsid w:val="001F58D4"/>
    <w:rsid w:val="00214237"/>
    <w:rsid w:val="00215C54"/>
    <w:rsid w:val="0022101D"/>
    <w:rsid w:val="0022343B"/>
    <w:rsid w:val="00224F87"/>
    <w:rsid w:val="0023024E"/>
    <w:rsid w:val="00235998"/>
    <w:rsid w:val="00236951"/>
    <w:rsid w:val="00237DBC"/>
    <w:rsid w:val="002432D0"/>
    <w:rsid w:val="00245818"/>
    <w:rsid w:val="002476D1"/>
    <w:rsid w:val="002503D2"/>
    <w:rsid w:val="0025123C"/>
    <w:rsid w:val="00251E16"/>
    <w:rsid w:val="00252BE1"/>
    <w:rsid w:val="00254502"/>
    <w:rsid w:val="00264BB9"/>
    <w:rsid w:val="00266B96"/>
    <w:rsid w:val="00267A28"/>
    <w:rsid w:val="002735C2"/>
    <w:rsid w:val="00273E68"/>
    <w:rsid w:val="0027473F"/>
    <w:rsid w:val="00276991"/>
    <w:rsid w:val="00281127"/>
    <w:rsid w:val="00282EA1"/>
    <w:rsid w:val="00283A41"/>
    <w:rsid w:val="00284ABD"/>
    <w:rsid w:val="00286A19"/>
    <w:rsid w:val="00287737"/>
    <w:rsid w:val="00290D4C"/>
    <w:rsid w:val="002965BE"/>
    <w:rsid w:val="002A02CE"/>
    <w:rsid w:val="002A5F0B"/>
    <w:rsid w:val="002B0CCB"/>
    <w:rsid w:val="002B2835"/>
    <w:rsid w:val="002B5D4B"/>
    <w:rsid w:val="002C022D"/>
    <w:rsid w:val="002C5939"/>
    <w:rsid w:val="002C63CD"/>
    <w:rsid w:val="002C6F1E"/>
    <w:rsid w:val="002C7376"/>
    <w:rsid w:val="002D18F1"/>
    <w:rsid w:val="002D56F1"/>
    <w:rsid w:val="002E0D5F"/>
    <w:rsid w:val="002E1D5B"/>
    <w:rsid w:val="002E20E2"/>
    <w:rsid w:val="002F0980"/>
    <w:rsid w:val="002F36F9"/>
    <w:rsid w:val="002F6FE7"/>
    <w:rsid w:val="003048F1"/>
    <w:rsid w:val="003103D2"/>
    <w:rsid w:val="00314948"/>
    <w:rsid w:val="00327BBD"/>
    <w:rsid w:val="00327DE2"/>
    <w:rsid w:val="00330098"/>
    <w:rsid w:val="003318A4"/>
    <w:rsid w:val="003342BB"/>
    <w:rsid w:val="0033539C"/>
    <w:rsid w:val="003359E3"/>
    <w:rsid w:val="0034108B"/>
    <w:rsid w:val="003431D8"/>
    <w:rsid w:val="00353E57"/>
    <w:rsid w:val="0035439E"/>
    <w:rsid w:val="00364ACD"/>
    <w:rsid w:val="00367F71"/>
    <w:rsid w:val="00372FB9"/>
    <w:rsid w:val="00373AB4"/>
    <w:rsid w:val="00380929"/>
    <w:rsid w:val="00392417"/>
    <w:rsid w:val="003A158A"/>
    <w:rsid w:val="003A1D58"/>
    <w:rsid w:val="003A21E0"/>
    <w:rsid w:val="003A3E15"/>
    <w:rsid w:val="003A4E1D"/>
    <w:rsid w:val="003A614D"/>
    <w:rsid w:val="003A7DEE"/>
    <w:rsid w:val="003B397A"/>
    <w:rsid w:val="003C25A5"/>
    <w:rsid w:val="003C2EA6"/>
    <w:rsid w:val="003C329F"/>
    <w:rsid w:val="003C3539"/>
    <w:rsid w:val="003C62DA"/>
    <w:rsid w:val="003C67E5"/>
    <w:rsid w:val="003D5350"/>
    <w:rsid w:val="003D6FCD"/>
    <w:rsid w:val="003F12F1"/>
    <w:rsid w:val="003F28BE"/>
    <w:rsid w:val="00400686"/>
    <w:rsid w:val="00400A7E"/>
    <w:rsid w:val="00404439"/>
    <w:rsid w:val="004062A7"/>
    <w:rsid w:val="00410486"/>
    <w:rsid w:val="0041568D"/>
    <w:rsid w:val="00417B90"/>
    <w:rsid w:val="00421FE0"/>
    <w:rsid w:val="00425D53"/>
    <w:rsid w:val="0043198F"/>
    <w:rsid w:val="004350B9"/>
    <w:rsid w:val="0044415E"/>
    <w:rsid w:val="0045787B"/>
    <w:rsid w:val="0046097D"/>
    <w:rsid w:val="00462DE3"/>
    <w:rsid w:val="004637FD"/>
    <w:rsid w:val="00471E73"/>
    <w:rsid w:val="00472F44"/>
    <w:rsid w:val="00473AFE"/>
    <w:rsid w:val="004828FF"/>
    <w:rsid w:val="00483EF9"/>
    <w:rsid w:val="00486443"/>
    <w:rsid w:val="004874F8"/>
    <w:rsid w:val="004941B7"/>
    <w:rsid w:val="004955F1"/>
    <w:rsid w:val="004A4867"/>
    <w:rsid w:val="004C0E79"/>
    <w:rsid w:val="004C31FF"/>
    <w:rsid w:val="004C32D7"/>
    <w:rsid w:val="004C4DDF"/>
    <w:rsid w:val="004D0E7C"/>
    <w:rsid w:val="004E1601"/>
    <w:rsid w:val="004E61A9"/>
    <w:rsid w:val="004E79E3"/>
    <w:rsid w:val="004E7FF9"/>
    <w:rsid w:val="004F0C70"/>
    <w:rsid w:val="004F10F7"/>
    <w:rsid w:val="004F543A"/>
    <w:rsid w:val="004F5B3A"/>
    <w:rsid w:val="004F72DC"/>
    <w:rsid w:val="0050026C"/>
    <w:rsid w:val="005040BF"/>
    <w:rsid w:val="00513C83"/>
    <w:rsid w:val="005146BA"/>
    <w:rsid w:val="00516268"/>
    <w:rsid w:val="00517D30"/>
    <w:rsid w:val="00524871"/>
    <w:rsid w:val="00525BB9"/>
    <w:rsid w:val="00526333"/>
    <w:rsid w:val="00526D23"/>
    <w:rsid w:val="00531F4D"/>
    <w:rsid w:val="005325DD"/>
    <w:rsid w:val="00533C34"/>
    <w:rsid w:val="005353B0"/>
    <w:rsid w:val="00540DB8"/>
    <w:rsid w:val="0054424B"/>
    <w:rsid w:val="0054744C"/>
    <w:rsid w:val="00553C9B"/>
    <w:rsid w:val="00555601"/>
    <w:rsid w:val="005577F3"/>
    <w:rsid w:val="0055787D"/>
    <w:rsid w:val="0057020E"/>
    <w:rsid w:val="00572319"/>
    <w:rsid w:val="0057465E"/>
    <w:rsid w:val="00576830"/>
    <w:rsid w:val="00577D05"/>
    <w:rsid w:val="005816D8"/>
    <w:rsid w:val="0058210D"/>
    <w:rsid w:val="00585DFD"/>
    <w:rsid w:val="005872CD"/>
    <w:rsid w:val="00587F9C"/>
    <w:rsid w:val="005930F7"/>
    <w:rsid w:val="00595BC2"/>
    <w:rsid w:val="005A2B18"/>
    <w:rsid w:val="005A3C07"/>
    <w:rsid w:val="005B0618"/>
    <w:rsid w:val="005B325A"/>
    <w:rsid w:val="005B3499"/>
    <w:rsid w:val="005B6617"/>
    <w:rsid w:val="005C0024"/>
    <w:rsid w:val="005C0AFF"/>
    <w:rsid w:val="005C3C05"/>
    <w:rsid w:val="005C59B0"/>
    <w:rsid w:val="005C6E70"/>
    <w:rsid w:val="005C74FA"/>
    <w:rsid w:val="005D06FB"/>
    <w:rsid w:val="005D2A9C"/>
    <w:rsid w:val="005D3909"/>
    <w:rsid w:val="005D3E2F"/>
    <w:rsid w:val="005D7BBC"/>
    <w:rsid w:val="005D7E31"/>
    <w:rsid w:val="005E49F9"/>
    <w:rsid w:val="005E5A89"/>
    <w:rsid w:val="005F0371"/>
    <w:rsid w:val="005F5F5A"/>
    <w:rsid w:val="0060437C"/>
    <w:rsid w:val="00612643"/>
    <w:rsid w:val="00613DDF"/>
    <w:rsid w:val="006179AD"/>
    <w:rsid w:val="00621025"/>
    <w:rsid w:val="00622C3C"/>
    <w:rsid w:val="00627D0E"/>
    <w:rsid w:val="00644ED3"/>
    <w:rsid w:val="00645B46"/>
    <w:rsid w:val="006515BC"/>
    <w:rsid w:val="006550D5"/>
    <w:rsid w:val="00655154"/>
    <w:rsid w:val="00656BB5"/>
    <w:rsid w:val="006622AF"/>
    <w:rsid w:val="0066270D"/>
    <w:rsid w:val="00663F85"/>
    <w:rsid w:val="0066435E"/>
    <w:rsid w:val="0066729A"/>
    <w:rsid w:val="00670B43"/>
    <w:rsid w:val="00671932"/>
    <w:rsid w:val="006777E2"/>
    <w:rsid w:val="006801AE"/>
    <w:rsid w:val="0068339B"/>
    <w:rsid w:val="00684AE0"/>
    <w:rsid w:val="00690FB7"/>
    <w:rsid w:val="00691605"/>
    <w:rsid w:val="006A4BE2"/>
    <w:rsid w:val="006A6647"/>
    <w:rsid w:val="006B4248"/>
    <w:rsid w:val="006B701A"/>
    <w:rsid w:val="006C1AD3"/>
    <w:rsid w:val="006C28DF"/>
    <w:rsid w:val="006C4AC4"/>
    <w:rsid w:val="006C609C"/>
    <w:rsid w:val="006C682B"/>
    <w:rsid w:val="006D0C26"/>
    <w:rsid w:val="006D46BE"/>
    <w:rsid w:val="006D552F"/>
    <w:rsid w:val="006D5F24"/>
    <w:rsid w:val="006D6385"/>
    <w:rsid w:val="006E4853"/>
    <w:rsid w:val="006E4EB4"/>
    <w:rsid w:val="006E5D0B"/>
    <w:rsid w:val="006E7C76"/>
    <w:rsid w:val="006F02F7"/>
    <w:rsid w:val="006F3F98"/>
    <w:rsid w:val="006F4E8D"/>
    <w:rsid w:val="0071194B"/>
    <w:rsid w:val="00716B99"/>
    <w:rsid w:val="007200BD"/>
    <w:rsid w:val="0072169B"/>
    <w:rsid w:val="00722074"/>
    <w:rsid w:val="0072264B"/>
    <w:rsid w:val="00727892"/>
    <w:rsid w:val="00727B13"/>
    <w:rsid w:val="00745D5D"/>
    <w:rsid w:val="00751FA2"/>
    <w:rsid w:val="0075778D"/>
    <w:rsid w:val="00771644"/>
    <w:rsid w:val="00781C89"/>
    <w:rsid w:val="00793AE8"/>
    <w:rsid w:val="007970F3"/>
    <w:rsid w:val="007A0C53"/>
    <w:rsid w:val="007A0E07"/>
    <w:rsid w:val="007A1B31"/>
    <w:rsid w:val="007A5CB6"/>
    <w:rsid w:val="007A6200"/>
    <w:rsid w:val="007A64B4"/>
    <w:rsid w:val="007B100A"/>
    <w:rsid w:val="007B2B3D"/>
    <w:rsid w:val="007B4268"/>
    <w:rsid w:val="007C107E"/>
    <w:rsid w:val="007C141F"/>
    <w:rsid w:val="007C1725"/>
    <w:rsid w:val="007C279D"/>
    <w:rsid w:val="007C45A3"/>
    <w:rsid w:val="007C6D70"/>
    <w:rsid w:val="007D1F75"/>
    <w:rsid w:val="007D241F"/>
    <w:rsid w:val="007E32AC"/>
    <w:rsid w:val="007E3314"/>
    <w:rsid w:val="007E4E41"/>
    <w:rsid w:val="007E74DA"/>
    <w:rsid w:val="007E78EB"/>
    <w:rsid w:val="007F4649"/>
    <w:rsid w:val="007F4C30"/>
    <w:rsid w:val="007F4C8C"/>
    <w:rsid w:val="007F4C9D"/>
    <w:rsid w:val="007F6C6F"/>
    <w:rsid w:val="00801655"/>
    <w:rsid w:val="008016E9"/>
    <w:rsid w:val="008053AE"/>
    <w:rsid w:val="008062B4"/>
    <w:rsid w:val="008077A8"/>
    <w:rsid w:val="008100D0"/>
    <w:rsid w:val="008153FF"/>
    <w:rsid w:val="008171E6"/>
    <w:rsid w:val="008240E1"/>
    <w:rsid w:val="0082502D"/>
    <w:rsid w:val="00831192"/>
    <w:rsid w:val="008331D1"/>
    <w:rsid w:val="008339FB"/>
    <w:rsid w:val="00834B91"/>
    <w:rsid w:val="00843674"/>
    <w:rsid w:val="008440F6"/>
    <w:rsid w:val="00847F0F"/>
    <w:rsid w:val="00850CB3"/>
    <w:rsid w:val="008521A6"/>
    <w:rsid w:val="00855936"/>
    <w:rsid w:val="00874AE0"/>
    <w:rsid w:val="0087717D"/>
    <w:rsid w:val="00885FB0"/>
    <w:rsid w:val="008862EC"/>
    <w:rsid w:val="008915A1"/>
    <w:rsid w:val="00891FE2"/>
    <w:rsid w:val="0089373F"/>
    <w:rsid w:val="00893905"/>
    <w:rsid w:val="00895EEA"/>
    <w:rsid w:val="00896D51"/>
    <w:rsid w:val="00897418"/>
    <w:rsid w:val="008A0B94"/>
    <w:rsid w:val="008A2160"/>
    <w:rsid w:val="008A25F1"/>
    <w:rsid w:val="008A6868"/>
    <w:rsid w:val="008A7896"/>
    <w:rsid w:val="008B08D4"/>
    <w:rsid w:val="008B170D"/>
    <w:rsid w:val="008B3CD7"/>
    <w:rsid w:val="008B7D03"/>
    <w:rsid w:val="008C3EA1"/>
    <w:rsid w:val="008D09EC"/>
    <w:rsid w:val="008D62D4"/>
    <w:rsid w:val="008E2FB7"/>
    <w:rsid w:val="008E590F"/>
    <w:rsid w:val="008E77F6"/>
    <w:rsid w:val="008F0823"/>
    <w:rsid w:val="00905D30"/>
    <w:rsid w:val="0091032D"/>
    <w:rsid w:val="00917762"/>
    <w:rsid w:val="00917E4D"/>
    <w:rsid w:val="009201AE"/>
    <w:rsid w:val="009212D6"/>
    <w:rsid w:val="009224A7"/>
    <w:rsid w:val="009356B8"/>
    <w:rsid w:val="00936372"/>
    <w:rsid w:val="00937334"/>
    <w:rsid w:val="00937BBE"/>
    <w:rsid w:val="00940453"/>
    <w:rsid w:val="009461FF"/>
    <w:rsid w:val="00946D16"/>
    <w:rsid w:val="009549E0"/>
    <w:rsid w:val="00955609"/>
    <w:rsid w:val="00963EE8"/>
    <w:rsid w:val="00966A77"/>
    <w:rsid w:val="00972F2C"/>
    <w:rsid w:val="00973126"/>
    <w:rsid w:val="009746DA"/>
    <w:rsid w:val="009746F5"/>
    <w:rsid w:val="00974F61"/>
    <w:rsid w:val="00976111"/>
    <w:rsid w:val="00982FCD"/>
    <w:rsid w:val="009846B3"/>
    <w:rsid w:val="00986CD1"/>
    <w:rsid w:val="00987EE7"/>
    <w:rsid w:val="00993F84"/>
    <w:rsid w:val="00995A99"/>
    <w:rsid w:val="009B0122"/>
    <w:rsid w:val="009B0C95"/>
    <w:rsid w:val="009B5A66"/>
    <w:rsid w:val="009C0E50"/>
    <w:rsid w:val="009C2920"/>
    <w:rsid w:val="009C4833"/>
    <w:rsid w:val="009D30D0"/>
    <w:rsid w:val="009D5D23"/>
    <w:rsid w:val="009D60E5"/>
    <w:rsid w:val="009D6E3C"/>
    <w:rsid w:val="009D6E6A"/>
    <w:rsid w:val="009F3A8A"/>
    <w:rsid w:val="009F48B3"/>
    <w:rsid w:val="00A01DB2"/>
    <w:rsid w:val="00A03605"/>
    <w:rsid w:val="00A0414D"/>
    <w:rsid w:val="00A30237"/>
    <w:rsid w:val="00A31255"/>
    <w:rsid w:val="00A32D1B"/>
    <w:rsid w:val="00A45C4A"/>
    <w:rsid w:val="00A47B0E"/>
    <w:rsid w:val="00A56CEA"/>
    <w:rsid w:val="00A66F6B"/>
    <w:rsid w:val="00A718A1"/>
    <w:rsid w:val="00A71D93"/>
    <w:rsid w:val="00A74968"/>
    <w:rsid w:val="00A77160"/>
    <w:rsid w:val="00A82152"/>
    <w:rsid w:val="00A8380C"/>
    <w:rsid w:val="00A902F2"/>
    <w:rsid w:val="00A910B7"/>
    <w:rsid w:val="00A93D69"/>
    <w:rsid w:val="00A951A2"/>
    <w:rsid w:val="00A963DC"/>
    <w:rsid w:val="00A96859"/>
    <w:rsid w:val="00A97A85"/>
    <w:rsid w:val="00AA18AA"/>
    <w:rsid w:val="00AA32BB"/>
    <w:rsid w:val="00AA5374"/>
    <w:rsid w:val="00AB1F74"/>
    <w:rsid w:val="00AB340F"/>
    <w:rsid w:val="00AB6617"/>
    <w:rsid w:val="00AC1390"/>
    <w:rsid w:val="00AC1C11"/>
    <w:rsid w:val="00AC42AA"/>
    <w:rsid w:val="00AD45FB"/>
    <w:rsid w:val="00AD6CF1"/>
    <w:rsid w:val="00AE6891"/>
    <w:rsid w:val="00AF1ACC"/>
    <w:rsid w:val="00AF300B"/>
    <w:rsid w:val="00AF3505"/>
    <w:rsid w:val="00AF4B91"/>
    <w:rsid w:val="00AF7034"/>
    <w:rsid w:val="00AF7D7F"/>
    <w:rsid w:val="00B03867"/>
    <w:rsid w:val="00B058F7"/>
    <w:rsid w:val="00B060BB"/>
    <w:rsid w:val="00B1336A"/>
    <w:rsid w:val="00B212CD"/>
    <w:rsid w:val="00B21553"/>
    <w:rsid w:val="00B46B4E"/>
    <w:rsid w:val="00B501A0"/>
    <w:rsid w:val="00B5060C"/>
    <w:rsid w:val="00B52DBC"/>
    <w:rsid w:val="00B54706"/>
    <w:rsid w:val="00B6204F"/>
    <w:rsid w:val="00B62D40"/>
    <w:rsid w:val="00B71E51"/>
    <w:rsid w:val="00B726C0"/>
    <w:rsid w:val="00B73F36"/>
    <w:rsid w:val="00B74D74"/>
    <w:rsid w:val="00B81990"/>
    <w:rsid w:val="00B877DD"/>
    <w:rsid w:val="00B91A06"/>
    <w:rsid w:val="00B923DC"/>
    <w:rsid w:val="00B93E67"/>
    <w:rsid w:val="00B96C9B"/>
    <w:rsid w:val="00BA1DA1"/>
    <w:rsid w:val="00BA731F"/>
    <w:rsid w:val="00BB0EBF"/>
    <w:rsid w:val="00BC25ED"/>
    <w:rsid w:val="00BC3447"/>
    <w:rsid w:val="00BD141E"/>
    <w:rsid w:val="00BD5EC4"/>
    <w:rsid w:val="00BD6256"/>
    <w:rsid w:val="00BD6B6E"/>
    <w:rsid w:val="00BE6CC7"/>
    <w:rsid w:val="00BE6E4F"/>
    <w:rsid w:val="00BF1FF3"/>
    <w:rsid w:val="00BF38C9"/>
    <w:rsid w:val="00C0631B"/>
    <w:rsid w:val="00C14EAD"/>
    <w:rsid w:val="00C24A3C"/>
    <w:rsid w:val="00C32586"/>
    <w:rsid w:val="00C354BF"/>
    <w:rsid w:val="00C36230"/>
    <w:rsid w:val="00C41396"/>
    <w:rsid w:val="00C47806"/>
    <w:rsid w:val="00C52257"/>
    <w:rsid w:val="00C543D2"/>
    <w:rsid w:val="00C676C5"/>
    <w:rsid w:val="00C7016C"/>
    <w:rsid w:val="00C7043C"/>
    <w:rsid w:val="00C70596"/>
    <w:rsid w:val="00C71D47"/>
    <w:rsid w:val="00C757A0"/>
    <w:rsid w:val="00C83717"/>
    <w:rsid w:val="00C86966"/>
    <w:rsid w:val="00C93697"/>
    <w:rsid w:val="00C970EA"/>
    <w:rsid w:val="00CA37B0"/>
    <w:rsid w:val="00CB30A1"/>
    <w:rsid w:val="00CB5464"/>
    <w:rsid w:val="00CC0A8D"/>
    <w:rsid w:val="00CD3E82"/>
    <w:rsid w:val="00CD6EFB"/>
    <w:rsid w:val="00CD7D10"/>
    <w:rsid w:val="00CE5764"/>
    <w:rsid w:val="00CF247A"/>
    <w:rsid w:val="00D06A5D"/>
    <w:rsid w:val="00D06C90"/>
    <w:rsid w:val="00D10DF5"/>
    <w:rsid w:val="00D300E0"/>
    <w:rsid w:val="00D50DDB"/>
    <w:rsid w:val="00D54777"/>
    <w:rsid w:val="00D6650E"/>
    <w:rsid w:val="00D72F4E"/>
    <w:rsid w:val="00D755DE"/>
    <w:rsid w:val="00D77FC2"/>
    <w:rsid w:val="00D85F09"/>
    <w:rsid w:val="00D86740"/>
    <w:rsid w:val="00D86FBC"/>
    <w:rsid w:val="00D87B95"/>
    <w:rsid w:val="00DA084C"/>
    <w:rsid w:val="00DA19CE"/>
    <w:rsid w:val="00DA2B44"/>
    <w:rsid w:val="00DA2BE8"/>
    <w:rsid w:val="00DA2C90"/>
    <w:rsid w:val="00DA4A06"/>
    <w:rsid w:val="00DB40F7"/>
    <w:rsid w:val="00DB4987"/>
    <w:rsid w:val="00DB5BF6"/>
    <w:rsid w:val="00DB7B3A"/>
    <w:rsid w:val="00DB7F6A"/>
    <w:rsid w:val="00DD343C"/>
    <w:rsid w:val="00DD5749"/>
    <w:rsid w:val="00DE2C16"/>
    <w:rsid w:val="00DF63F0"/>
    <w:rsid w:val="00E002AD"/>
    <w:rsid w:val="00E03575"/>
    <w:rsid w:val="00E073A0"/>
    <w:rsid w:val="00E104D5"/>
    <w:rsid w:val="00E174B0"/>
    <w:rsid w:val="00E223A0"/>
    <w:rsid w:val="00E22E48"/>
    <w:rsid w:val="00E23E70"/>
    <w:rsid w:val="00E341B6"/>
    <w:rsid w:val="00E3678D"/>
    <w:rsid w:val="00E4032C"/>
    <w:rsid w:val="00E41688"/>
    <w:rsid w:val="00E43735"/>
    <w:rsid w:val="00E45B0B"/>
    <w:rsid w:val="00E45CC2"/>
    <w:rsid w:val="00E55501"/>
    <w:rsid w:val="00E60D82"/>
    <w:rsid w:val="00E631F3"/>
    <w:rsid w:val="00E63DA5"/>
    <w:rsid w:val="00E655FD"/>
    <w:rsid w:val="00E67ED5"/>
    <w:rsid w:val="00E67FCB"/>
    <w:rsid w:val="00E75CFA"/>
    <w:rsid w:val="00E76176"/>
    <w:rsid w:val="00E77938"/>
    <w:rsid w:val="00E97242"/>
    <w:rsid w:val="00E97A09"/>
    <w:rsid w:val="00EB1794"/>
    <w:rsid w:val="00EB38E4"/>
    <w:rsid w:val="00EB3AB8"/>
    <w:rsid w:val="00EB7F0E"/>
    <w:rsid w:val="00EC0CEB"/>
    <w:rsid w:val="00EC13CE"/>
    <w:rsid w:val="00EC1E0A"/>
    <w:rsid w:val="00EC7DCF"/>
    <w:rsid w:val="00ED07C4"/>
    <w:rsid w:val="00ED1742"/>
    <w:rsid w:val="00ED31A4"/>
    <w:rsid w:val="00ED4A9C"/>
    <w:rsid w:val="00ED5E7C"/>
    <w:rsid w:val="00EE0887"/>
    <w:rsid w:val="00EF167C"/>
    <w:rsid w:val="00EF4535"/>
    <w:rsid w:val="00EF6E5D"/>
    <w:rsid w:val="00F01D80"/>
    <w:rsid w:val="00F01E9E"/>
    <w:rsid w:val="00F0556B"/>
    <w:rsid w:val="00F07496"/>
    <w:rsid w:val="00F122DF"/>
    <w:rsid w:val="00F16AED"/>
    <w:rsid w:val="00F179E7"/>
    <w:rsid w:val="00F20985"/>
    <w:rsid w:val="00F2415B"/>
    <w:rsid w:val="00F243D7"/>
    <w:rsid w:val="00F2469A"/>
    <w:rsid w:val="00F25C8C"/>
    <w:rsid w:val="00F30864"/>
    <w:rsid w:val="00F30F97"/>
    <w:rsid w:val="00F311AE"/>
    <w:rsid w:val="00F336A7"/>
    <w:rsid w:val="00F341CD"/>
    <w:rsid w:val="00F3498B"/>
    <w:rsid w:val="00F37E3D"/>
    <w:rsid w:val="00F43835"/>
    <w:rsid w:val="00F54183"/>
    <w:rsid w:val="00F65785"/>
    <w:rsid w:val="00F66626"/>
    <w:rsid w:val="00F7173D"/>
    <w:rsid w:val="00F76CB1"/>
    <w:rsid w:val="00F826E6"/>
    <w:rsid w:val="00F86334"/>
    <w:rsid w:val="00F93249"/>
    <w:rsid w:val="00F940D3"/>
    <w:rsid w:val="00F95CAC"/>
    <w:rsid w:val="00FA2C9E"/>
    <w:rsid w:val="00FA3845"/>
    <w:rsid w:val="00FA4136"/>
    <w:rsid w:val="00FB02B6"/>
    <w:rsid w:val="00FB0545"/>
    <w:rsid w:val="00FB77C1"/>
    <w:rsid w:val="00FF7AF3"/>
    <w:rsid w:val="05FE0AC9"/>
    <w:rsid w:val="6B9124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Body Text Indent"/>
    <w:basedOn w:val="1"/>
    <w:link w:val="16"/>
    <w:qFormat/>
    <w:uiPriority w:val="0"/>
    <w:pPr>
      <w:spacing w:line="500" w:lineRule="exact"/>
      <w:ind w:firstLine="560" w:firstLineChars="200"/>
    </w:pPr>
    <w:rPr>
      <w:rFonts w:ascii="仿宋_GB2312" w:eastAsia="仿宋_GB2312"/>
      <w:kern w:val="0"/>
      <w:sz w:val="28"/>
      <w:szCs w:val="32"/>
      <w:lang w:val="zh-CN"/>
    </w:rPr>
  </w:style>
  <w:style w:type="paragraph" w:styleId="5">
    <w:name w:val="footer"/>
    <w:basedOn w:val="1"/>
    <w:link w:val="28"/>
    <w:qFormat/>
    <w:uiPriority w:val="0"/>
    <w:pPr>
      <w:tabs>
        <w:tab w:val="center" w:pos="4153"/>
        <w:tab w:val="right" w:pos="8306"/>
      </w:tabs>
      <w:snapToGrid w:val="0"/>
      <w:jc w:val="left"/>
    </w:pPr>
    <w:rPr>
      <w:sz w:val="18"/>
      <w:szCs w:val="18"/>
    </w:rPr>
  </w:style>
  <w:style w:type="paragraph" w:styleId="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Emphasis"/>
    <w:basedOn w:val="9"/>
    <w:qFormat/>
    <w:uiPriority w:val="0"/>
    <w:rPr>
      <w:color w:val="CC0000"/>
    </w:rPr>
  </w:style>
  <w:style w:type="character" w:styleId="11">
    <w:name w:val="Hyperlink"/>
    <w:unhideWhenUsed/>
    <w:qFormat/>
    <w:uiPriority w:val="99"/>
    <w:rPr>
      <w:color w:val="0000FF"/>
      <w:u w:val="single"/>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ji-require"/>
    <w:basedOn w:val="1"/>
    <w:uiPriority w:val="0"/>
    <w:pPr>
      <w:widowControl/>
      <w:pBdr>
        <w:bottom w:val="dotted" w:color="CCCCCC" w:sz="6" w:space="4"/>
      </w:pBdr>
      <w:spacing w:before="100" w:beforeAutospacing="1" w:after="150"/>
      <w:jc w:val="left"/>
    </w:pPr>
    <w:rPr>
      <w:rFonts w:ascii="宋体" w:hAnsi="宋体" w:cs="宋体"/>
      <w:color w:val="999999"/>
      <w:kern w:val="0"/>
      <w:sz w:val="24"/>
    </w:rPr>
  </w:style>
  <w:style w:type="paragraph" w:customStyle="1" w:styleId="15">
    <w:name w:val="hasvis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正文文本缩进 Char"/>
    <w:link w:val="4"/>
    <w:qFormat/>
    <w:uiPriority w:val="0"/>
    <w:rPr>
      <w:rFonts w:ascii="仿宋_GB2312" w:eastAsia="仿宋_GB2312"/>
      <w:sz w:val="28"/>
      <w:szCs w:val="32"/>
      <w:lang w:val="zh-CN"/>
    </w:rPr>
  </w:style>
  <w:style w:type="character" w:customStyle="1" w:styleId="17">
    <w:name w:val="style3"/>
    <w:qFormat/>
    <w:uiPriority w:val="0"/>
  </w:style>
  <w:style w:type="character" w:customStyle="1" w:styleId="18">
    <w:name w:val="标题 1 Char"/>
    <w:link w:val="2"/>
    <w:qFormat/>
    <w:uiPriority w:val="9"/>
    <w:rPr>
      <w:rFonts w:ascii="宋体" w:hAnsi="宋体" w:cs="宋体"/>
      <w:b/>
      <w:bCs/>
      <w:kern w:val="36"/>
      <w:sz w:val="48"/>
      <w:szCs w:val="48"/>
    </w:rPr>
  </w:style>
  <w:style w:type="character" w:customStyle="1" w:styleId="19">
    <w:name w:val="标题 2 Char"/>
    <w:link w:val="3"/>
    <w:qFormat/>
    <w:uiPriority w:val="9"/>
    <w:rPr>
      <w:rFonts w:ascii="宋体" w:hAnsi="宋体" w:cs="宋体"/>
      <w:b/>
      <w:bCs/>
      <w:sz w:val="36"/>
      <w:szCs w:val="36"/>
    </w:rPr>
  </w:style>
  <w:style w:type="character" w:customStyle="1" w:styleId="20">
    <w:name w:val="inner"/>
    <w:basedOn w:val="9"/>
    <w:qFormat/>
    <w:uiPriority w:val="0"/>
  </w:style>
  <w:style w:type="character" w:customStyle="1" w:styleId="21">
    <w:name w:val="hps"/>
    <w:qFormat/>
    <w:uiPriority w:val="0"/>
  </w:style>
  <w:style w:type="character" w:customStyle="1" w:styleId="22">
    <w:name w:val="HTML 预设格式 Char"/>
    <w:link w:val="7"/>
    <w:qFormat/>
    <w:uiPriority w:val="0"/>
    <w:rPr>
      <w:rFonts w:ascii="宋体" w:hAnsi="宋体" w:cs="宋体"/>
      <w:sz w:val="24"/>
      <w:szCs w:val="24"/>
    </w:rPr>
  </w:style>
  <w:style w:type="character" w:customStyle="1" w:styleId="23">
    <w:name w:val="highlight1"/>
    <w:basedOn w:val="9"/>
    <w:qFormat/>
    <w:uiPriority w:val="0"/>
    <w:rPr>
      <w:shd w:val="clear" w:color="auto" w:fill="FFFF00"/>
    </w:rPr>
  </w:style>
  <w:style w:type="character" w:customStyle="1" w:styleId="24">
    <w:name w:val="hps atn"/>
    <w:basedOn w:val="9"/>
    <w:qFormat/>
    <w:uiPriority w:val="0"/>
  </w:style>
  <w:style w:type="character" w:customStyle="1" w:styleId="25">
    <w:name w:val="short_text"/>
    <w:basedOn w:val="9"/>
    <w:qFormat/>
    <w:uiPriority w:val="0"/>
  </w:style>
  <w:style w:type="character" w:customStyle="1" w:styleId="26">
    <w:name w:val="atn"/>
    <w:basedOn w:val="9"/>
    <w:qFormat/>
    <w:uiPriority w:val="0"/>
  </w:style>
  <w:style w:type="character" w:customStyle="1" w:styleId="27">
    <w:name w:val="页眉 Char"/>
    <w:basedOn w:val="9"/>
    <w:link w:val="6"/>
    <w:qFormat/>
    <w:uiPriority w:val="0"/>
    <w:rPr>
      <w:kern w:val="2"/>
      <w:sz w:val="18"/>
      <w:szCs w:val="18"/>
    </w:rPr>
  </w:style>
  <w:style w:type="character" w:customStyle="1" w:styleId="28">
    <w:name w:val="页脚 Char"/>
    <w:basedOn w:val="9"/>
    <w:link w:val="5"/>
    <w:qFormat/>
    <w:uiPriority w:val="0"/>
    <w:rPr>
      <w:kern w:val="2"/>
      <w:sz w:val="18"/>
      <w:szCs w:val="18"/>
    </w:rPr>
  </w:style>
  <w:style w:type="character" w:customStyle="1" w:styleId="29">
    <w:name w:val="green"/>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935</Words>
  <Characters>5336</Characters>
  <Lines>44</Lines>
  <Paragraphs>12</Paragraphs>
  <TotalTime>0</TotalTime>
  <ScaleCrop>false</ScaleCrop>
  <LinksUpToDate>false</LinksUpToDate>
  <CharactersWithSpaces>6259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2018-05-17T01:41:00Z</dcterms:created>
  <dc:creator>zhang</dc:creator>
  <cp:lastModifiedBy>安贝拉</cp:lastModifiedBy>
  <dcterms:modified xsi:type="dcterms:W3CDTF">2018-06-26T01:54:36Z</dcterms:modified>
  <dc:title>近年来，游戏软件产业得到持续、迅猛地发展，这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