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以学生为中心，成果为导向的教育理念比较分析</w:t>
      </w:r>
    </w:p>
    <w:p>
      <w:pPr>
        <w:tabs>
          <w:tab w:val="left" w:pos="4497"/>
        </w:tabs>
        <w:spacing w:before="156"/>
        <w:jc w:val="center"/>
        <w:rPr>
          <w:rFonts w:eastAsia="Calibri" w:cs="Calibri"/>
          <w:szCs w:val="21"/>
        </w:rPr>
      </w:pPr>
      <w:r>
        <w:rPr>
          <w:rFonts w:ascii="宋体" w:hAnsi="宋体" w:cs="宋体"/>
          <w:szCs w:val="21"/>
        </w:rPr>
        <w:t>何静</w:t>
      </w:r>
      <w:r>
        <w:rPr>
          <w:rStyle w:val="7"/>
          <w:rFonts w:ascii="宋体" w:hAnsi="宋体" w:cs="宋体"/>
          <w:szCs w:val="21"/>
        </w:rPr>
        <w:footnoteReference w:id="0"/>
      </w:r>
      <w:r>
        <w:rPr>
          <w:rFonts w:hint="eastAsia" w:ascii="宋体" w:hAnsi="宋体" w:cs="宋体"/>
          <w:szCs w:val="21"/>
        </w:rPr>
        <w:t xml:space="preserve"> 孔繁正</w:t>
      </w:r>
      <w:r>
        <w:rPr>
          <w:rStyle w:val="7"/>
          <w:rFonts w:ascii="宋体" w:hAnsi="宋体" w:cs="宋体"/>
          <w:szCs w:val="21"/>
        </w:rPr>
        <w:footnoteReference w:id="1"/>
      </w:r>
      <w:r>
        <w:rPr>
          <w:rFonts w:hint="eastAsia" w:ascii="宋体" w:hAnsi="宋体" w:cs="宋体"/>
          <w:szCs w:val="21"/>
        </w:rPr>
        <w:t xml:space="preserve"> 王林</w:t>
      </w:r>
      <w:r>
        <w:rPr>
          <w:rStyle w:val="7"/>
          <w:rFonts w:ascii="宋体" w:hAnsi="宋体" w:cs="宋体"/>
          <w:szCs w:val="21"/>
        </w:rPr>
        <w:footnoteReference w:id="2"/>
      </w:r>
    </w:p>
    <w:p>
      <w:pPr>
        <w:tabs>
          <w:tab w:val="left" w:pos="4497"/>
        </w:tabs>
        <w:spacing w:before="156"/>
        <w:jc w:val="center"/>
        <w:rPr>
          <w:rFonts w:eastAsia="Calibri" w:cs="Calibri"/>
          <w:szCs w:val="21"/>
        </w:rPr>
      </w:pPr>
      <w:r>
        <w:rPr>
          <w:rFonts w:hint="eastAsia" w:cs="Calibri"/>
          <w:szCs w:val="21"/>
        </w:rPr>
        <w:t>（</w:t>
      </w:r>
      <w:r>
        <w:rPr>
          <w:rFonts w:ascii="宋体" w:hAnsi="宋体" w:cs="宋体"/>
          <w:szCs w:val="21"/>
        </w:rPr>
        <w:t>广东</w:t>
      </w:r>
      <w:r>
        <w:rPr>
          <w:rFonts w:hint="eastAsia" w:ascii="宋体" w:hAnsi="宋体" w:cs="宋体"/>
          <w:szCs w:val="21"/>
        </w:rPr>
        <w:t>农工商</w:t>
      </w:r>
      <w:r>
        <w:rPr>
          <w:rFonts w:ascii="宋体" w:hAnsi="宋体" w:cs="宋体"/>
          <w:szCs w:val="21"/>
        </w:rPr>
        <w:t>职业技术学院</w:t>
      </w:r>
      <w:r>
        <w:rPr>
          <w:rFonts w:eastAsia="Calibri" w:cs="Calibri"/>
          <w:szCs w:val="21"/>
        </w:rPr>
        <w:t xml:space="preserve">  </w:t>
      </w:r>
      <w:r>
        <w:rPr>
          <w:rFonts w:ascii="宋体" w:hAnsi="宋体" w:cs="宋体"/>
          <w:szCs w:val="21"/>
        </w:rPr>
        <w:t>广东广州</w:t>
      </w:r>
      <w:r>
        <w:rPr>
          <w:rFonts w:eastAsia="Calibri" w:cs="Calibri"/>
          <w:szCs w:val="21"/>
        </w:rPr>
        <w:t xml:space="preserve">  </w:t>
      </w:r>
      <w:r>
        <w:rPr>
          <w:rFonts w:ascii="宋体" w:hAnsi="宋体" w:cs="宋体"/>
          <w:szCs w:val="21"/>
        </w:rPr>
        <w:t>5</w:t>
      </w:r>
      <w:r>
        <w:rPr>
          <w:rFonts w:hint="eastAsia" w:ascii="宋体" w:hAnsi="宋体" w:cs="宋体"/>
          <w:szCs w:val="21"/>
        </w:rPr>
        <w:t>10</w:t>
      </w:r>
      <w:r>
        <w:rPr>
          <w:rFonts w:ascii="宋体" w:hAnsi="宋体" w:cs="宋体"/>
          <w:szCs w:val="21"/>
        </w:rPr>
        <w:t>663</w:t>
      </w:r>
      <w:r>
        <w:rPr>
          <w:rFonts w:hint="eastAsia" w:ascii="宋体" w:hAnsi="宋体" w:cs="宋体"/>
          <w:szCs w:val="21"/>
        </w:rPr>
        <w:t>）</w:t>
      </w:r>
    </w:p>
    <w:p>
      <w:pPr>
        <w:jc w:val="center"/>
        <w:rPr>
          <w:b/>
          <w:sz w:val="44"/>
          <w:szCs w:val="44"/>
        </w:rPr>
      </w:pPr>
    </w:p>
    <w:p>
      <w:pPr>
        <w:spacing w:before="100" w:after="100"/>
        <w:ind w:firstLine="480"/>
        <w:rPr>
          <w:rFonts w:ascii="仿宋_GB2312" w:eastAsia="仿宋_GB2312"/>
          <w:sz w:val="24"/>
        </w:rPr>
      </w:pPr>
      <w:r>
        <w:rPr>
          <w:rFonts w:ascii="仿宋_GB2312" w:eastAsia="仿宋_GB2312"/>
          <w:b/>
          <w:sz w:val="24"/>
        </w:rPr>
        <w:t>【摘要】</w:t>
      </w:r>
      <w:r>
        <w:rPr>
          <w:rFonts w:hint="eastAsia" w:ascii="仿宋_GB2312" w:eastAsia="仿宋_GB2312"/>
          <w:b/>
          <w:sz w:val="24"/>
        </w:rPr>
        <w:t xml:space="preserve"> </w:t>
      </w:r>
      <w:r>
        <w:rPr>
          <w:rFonts w:ascii="仿宋_GB2312" w:eastAsia="仿宋_GB2312"/>
          <w:sz w:val="24"/>
        </w:rPr>
        <w:t>体现人才培养质量和培养特色的载体是学校的人才培养标准</w:t>
      </w:r>
      <w:r>
        <w:rPr>
          <w:rFonts w:hint="eastAsia" w:ascii="仿宋_GB2312" w:eastAsia="仿宋_GB2312"/>
          <w:sz w:val="24"/>
        </w:rPr>
        <w:t>或人才培养方案及其</w:t>
      </w:r>
      <w:r>
        <w:rPr>
          <w:rFonts w:ascii="仿宋_GB2312" w:eastAsia="仿宋_GB2312"/>
          <w:sz w:val="24"/>
        </w:rPr>
        <w:t>人才培养模式</w:t>
      </w:r>
      <w:r>
        <w:rPr>
          <w:rFonts w:hint="eastAsia" w:ascii="仿宋_GB2312" w:eastAsia="仿宋_GB2312"/>
          <w:sz w:val="24"/>
        </w:rPr>
        <w:t>，而</w:t>
      </w:r>
      <w:r>
        <w:rPr>
          <w:rFonts w:ascii="仿宋_GB2312" w:eastAsia="仿宋_GB2312"/>
          <w:sz w:val="24"/>
        </w:rPr>
        <w:t>人才培养标准和人才培养模式的具体措施又受制于人才培养理念</w:t>
      </w:r>
      <w:r>
        <w:rPr>
          <w:rFonts w:hint="eastAsia" w:ascii="仿宋_GB2312" w:eastAsia="仿宋_GB2312"/>
          <w:sz w:val="24"/>
        </w:rPr>
        <w:t>。</w:t>
      </w:r>
      <w:r>
        <w:rPr>
          <w:rFonts w:ascii="仿宋_GB2312" w:eastAsia="仿宋_GB2312"/>
          <w:sz w:val="24"/>
        </w:rPr>
        <w:t>因此</w:t>
      </w:r>
      <w:r>
        <w:rPr>
          <w:rFonts w:hint="eastAsia" w:ascii="仿宋_GB2312" w:eastAsia="仿宋_GB2312"/>
          <w:sz w:val="24"/>
        </w:rPr>
        <w:t>，</w:t>
      </w:r>
      <w:r>
        <w:rPr>
          <w:rFonts w:ascii="仿宋_GB2312" w:eastAsia="仿宋_GB2312"/>
          <w:sz w:val="24"/>
        </w:rPr>
        <w:t>从某个角度来讲</w:t>
      </w:r>
      <w:r>
        <w:rPr>
          <w:rFonts w:hint="eastAsia" w:ascii="仿宋_GB2312" w:eastAsia="仿宋_GB2312"/>
          <w:sz w:val="24"/>
        </w:rPr>
        <w:t>，</w:t>
      </w:r>
      <w:r>
        <w:rPr>
          <w:rFonts w:ascii="仿宋_GB2312" w:eastAsia="仿宋_GB2312"/>
          <w:sz w:val="24"/>
        </w:rPr>
        <w:t>人才培养理念的科学性决定了人才培养标准和方案实施的有效性和科学性</w:t>
      </w:r>
      <w:r>
        <w:rPr>
          <w:rFonts w:hint="eastAsia" w:ascii="仿宋_GB2312" w:eastAsia="仿宋_GB2312"/>
          <w:sz w:val="24"/>
        </w:rPr>
        <w:t>。</w:t>
      </w:r>
      <w:r>
        <w:rPr>
          <w:rFonts w:ascii="仿宋_GB2312" w:eastAsia="仿宋_GB2312"/>
          <w:sz w:val="24"/>
        </w:rPr>
        <w:t>随着社会经济的快速发展，如何培养适应社会和经济发展的高素质人才，是高等职业教育教学改革创新值得探索的一个课题。人才培养模式的改革与创新是确保人才培养质量的关键</w:t>
      </w:r>
      <w:r>
        <w:rPr>
          <w:rFonts w:hint="eastAsia" w:ascii="仿宋_GB2312" w:eastAsia="仿宋_GB2312"/>
          <w:sz w:val="24"/>
        </w:rPr>
        <w:t>。而人才培养模式创新与改革的前提是要树立正确、科学的教育教学理念。</w:t>
      </w:r>
    </w:p>
    <w:p>
      <w:pPr>
        <w:widowControl/>
        <w:spacing w:before="156" w:beforeLines="50" w:after="156" w:afterLines="50" w:line="240" w:lineRule="atLeast"/>
        <w:ind w:firstLine="480"/>
        <w:jc w:val="left"/>
        <w:rPr>
          <w:rFonts w:ascii="仿宋_GB2312" w:eastAsia="仿宋_GB2312"/>
          <w:sz w:val="24"/>
        </w:rPr>
      </w:pPr>
      <w:r>
        <w:rPr>
          <w:rFonts w:ascii="仿宋_GB2312" w:eastAsia="仿宋_GB2312"/>
          <w:sz w:val="24"/>
        </w:rPr>
        <w:t>当前，世界各国高等教育都在不断改革与创新，期间也涌现出了许多特色鲜明的人才培养模式和教育理念，发达国家所取得的改革与创新经验值得我们思考</w:t>
      </w:r>
      <w:r>
        <w:rPr>
          <w:rFonts w:hint="eastAsia" w:ascii="仿宋_GB2312" w:eastAsia="仿宋_GB2312"/>
          <w:sz w:val="24"/>
        </w:rPr>
        <w:t>、</w:t>
      </w:r>
      <w:r>
        <w:rPr>
          <w:rFonts w:ascii="仿宋_GB2312" w:eastAsia="仿宋_GB2312"/>
          <w:sz w:val="24"/>
        </w:rPr>
        <w:t>学习与借鉴</w:t>
      </w:r>
      <w:r>
        <w:rPr>
          <w:rFonts w:hint="eastAsia" w:ascii="仿宋_GB2312" w:eastAsia="仿宋_GB2312"/>
          <w:sz w:val="24"/>
        </w:rPr>
        <w:t>，</w:t>
      </w:r>
      <w:r>
        <w:rPr>
          <w:rFonts w:ascii="仿宋_GB2312" w:eastAsia="仿宋_GB2312"/>
          <w:sz w:val="24"/>
        </w:rPr>
        <w:t>同时</w:t>
      </w:r>
      <w:r>
        <w:rPr>
          <w:rFonts w:hint="eastAsia" w:ascii="仿宋_GB2312" w:eastAsia="仿宋_GB2312"/>
          <w:sz w:val="24"/>
        </w:rPr>
        <w:t>也是促进我国高等职业教育国际化进程的有效途径，本文围绕当前流行的“以学生为中心，成果为导向的教育理念”与我国现行教育理念进行了比较分析。</w:t>
      </w:r>
    </w:p>
    <w:p>
      <w:pPr>
        <w:spacing w:before="156"/>
        <w:ind w:firstLine="482"/>
        <w:jc w:val="left"/>
        <w:rPr>
          <w:rFonts w:ascii="宋体" w:hAnsi="宋体" w:cs="宋体"/>
          <w:b/>
          <w:sz w:val="24"/>
        </w:rPr>
      </w:pPr>
      <w:r>
        <w:rPr>
          <w:rFonts w:ascii="宋体" w:hAnsi="宋体" w:cs="宋体"/>
          <w:b/>
          <w:sz w:val="24"/>
        </w:rPr>
        <w:t>【关键词】高职教育；人才培养；</w:t>
      </w:r>
      <w:r>
        <w:rPr>
          <w:rFonts w:hint="eastAsia" w:ascii="宋体" w:hAnsi="宋体" w:cs="宋体"/>
          <w:b/>
          <w:sz w:val="24"/>
        </w:rPr>
        <w:t>教育教学</w:t>
      </w:r>
      <w:r>
        <w:rPr>
          <w:rFonts w:ascii="宋体" w:hAnsi="宋体" w:cs="宋体"/>
          <w:b/>
          <w:sz w:val="24"/>
        </w:rPr>
        <w:t>理念</w:t>
      </w:r>
    </w:p>
    <w:p>
      <w:pPr>
        <w:spacing w:before="156" w:beforeLines="50" w:after="156" w:afterLines="50" w:line="240" w:lineRule="atLeast"/>
        <w:ind w:firstLine="600" w:firstLineChars="250"/>
        <w:jc w:val="left"/>
        <w:rPr>
          <w:rFonts w:ascii="仿宋_GB2312" w:eastAsia="仿宋_GB2312"/>
          <w:sz w:val="24"/>
        </w:rPr>
      </w:pPr>
      <w:r>
        <w:rPr>
          <w:rFonts w:hint="eastAsia" w:ascii="黑体" w:hAnsi="黑体" w:eastAsia="黑体"/>
          <w:sz w:val="24"/>
        </w:rPr>
        <w:t>一、</w:t>
      </w:r>
      <w:r>
        <w:rPr>
          <w:rFonts w:ascii="黑体" w:hAnsi="黑体" w:eastAsia="黑体"/>
          <w:sz w:val="24"/>
        </w:rPr>
        <w:t>以教师为中心</w:t>
      </w:r>
      <w:r>
        <w:rPr>
          <w:rFonts w:hint="eastAsia" w:ascii="黑体" w:hAnsi="黑体" w:eastAsia="黑体"/>
          <w:sz w:val="24"/>
        </w:rPr>
        <w:t>教育教学理念的现状</w:t>
      </w:r>
    </w:p>
    <w:p>
      <w:pPr>
        <w:widowControl/>
        <w:spacing w:before="156" w:beforeLines="50" w:after="156" w:afterLines="50" w:line="240" w:lineRule="atLeast"/>
        <w:ind w:firstLine="482"/>
        <w:jc w:val="left"/>
        <w:rPr>
          <w:rFonts w:ascii="仿宋_GB2312" w:eastAsia="仿宋_GB2312"/>
          <w:sz w:val="24"/>
        </w:rPr>
      </w:pPr>
      <w:r>
        <w:rPr>
          <w:rFonts w:ascii="仿宋_GB2312" w:eastAsia="仿宋_GB2312"/>
          <w:sz w:val="24"/>
        </w:rPr>
        <w:t>教学结构是指在一定的教育思想、教学理论及学习理论指导下，在特定环境中推进教学活动进程的一种稳定结构形式。</w:t>
      </w:r>
    </w:p>
    <w:p>
      <w:pPr>
        <w:widowControl/>
        <w:spacing w:before="156" w:beforeLines="50" w:after="156" w:afterLines="50" w:line="240" w:lineRule="atLeast"/>
        <w:ind w:firstLine="482"/>
        <w:jc w:val="left"/>
        <w:rPr>
          <w:rFonts w:ascii="仿宋_GB2312" w:eastAsia="仿宋_GB2312"/>
          <w:sz w:val="24"/>
        </w:rPr>
      </w:pPr>
      <w:r>
        <w:rPr>
          <w:rFonts w:ascii="仿宋_GB2312" w:eastAsia="仿宋_GB2312"/>
          <w:sz w:val="24"/>
        </w:rPr>
        <w:t>目前</w:t>
      </w:r>
      <w:r>
        <w:rPr>
          <w:rFonts w:hint="eastAsia" w:ascii="仿宋_GB2312" w:eastAsia="仿宋_GB2312"/>
          <w:sz w:val="24"/>
        </w:rPr>
        <w:t>我国大多</w:t>
      </w:r>
      <w:r>
        <w:rPr>
          <w:rFonts w:ascii="仿宋_GB2312" w:eastAsia="仿宋_GB2312"/>
          <w:sz w:val="24"/>
        </w:rPr>
        <w:t xml:space="preserve">学校中采用的教学结构大多是“以教师为中心”的教学结构和“以学生为中心”的教学结构。 </w:t>
      </w:r>
    </w:p>
    <w:p>
      <w:pPr>
        <w:widowControl/>
        <w:spacing w:before="156" w:beforeLines="50" w:after="156" w:afterLines="50" w:line="240" w:lineRule="atLeast"/>
        <w:ind w:firstLine="482"/>
        <w:jc w:val="left"/>
        <w:rPr>
          <w:rFonts w:ascii="仿宋_GB2312" w:eastAsia="仿宋_GB2312"/>
          <w:sz w:val="24"/>
        </w:rPr>
      </w:pPr>
      <w:r>
        <w:rPr>
          <w:rFonts w:hint="eastAsia" w:ascii="仿宋_GB2312" w:eastAsia="仿宋_GB2312"/>
          <w:sz w:val="24"/>
        </w:rPr>
        <w:t>我省高职教学改革甚至教育评估近几年来，基本围绕着课程建设，而课程建设以基本围绕课程标准，这是典型的</w:t>
      </w:r>
      <w:r>
        <w:rPr>
          <w:rFonts w:ascii="仿宋_GB2312" w:eastAsia="仿宋_GB2312"/>
          <w:sz w:val="24"/>
        </w:rPr>
        <w:t>以教师为中心</w:t>
      </w:r>
      <w:r>
        <w:rPr>
          <w:rFonts w:hint="eastAsia" w:ascii="仿宋_GB2312" w:eastAsia="仿宋_GB2312"/>
          <w:sz w:val="24"/>
        </w:rPr>
        <w:t>，以教师教法、以教师的教学思路为主的教育教学理念。</w:t>
      </w:r>
    </w:p>
    <w:p>
      <w:pPr>
        <w:widowControl/>
        <w:spacing w:before="156" w:beforeLines="50" w:after="156" w:afterLines="50" w:line="240" w:lineRule="atLeast"/>
        <w:ind w:firstLine="482"/>
        <w:jc w:val="left"/>
        <w:rPr>
          <w:rFonts w:ascii="仿宋_GB2312" w:eastAsia="仿宋_GB2312"/>
          <w:sz w:val="24"/>
        </w:rPr>
      </w:pPr>
      <w:r>
        <w:rPr>
          <w:rFonts w:hint="eastAsia" w:ascii="仿宋_GB2312" w:eastAsia="仿宋_GB2312"/>
          <w:sz w:val="24"/>
        </w:rPr>
        <w:t>对</w:t>
      </w:r>
      <w:r>
        <w:rPr>
          <w:rFonts w:ascii="仿宋_GB2312" w:eastAsia="仿宋_GB2312"/>
          <w:sz w:val="24"/>
        </w:rPr>
        <w:t>以教师为中心的教学结构的理论基础是奥苏贝尔的“学与教”理论，他的理论既包括学习过程所涉及的认知因素，又包括学习过程所涉及的情感因素。主要体现在他提出的“有意义接受学习”理论，所谓有意义学习是指希望通过学习获得对知识所反映事物的性质规律及事物之间的关联的认识，关键只是在当前所学的新概念、新知识与学习者原有认知结构中的某个方面之间建立起非任意的实质性的联系，只要能建立起这种联系就是有意义的学习，否则就是机械学习。</w:t>
      </w:r>
    </w:p>
    <w:p>
      <w:pPr>
        <w:widowControl/>
        <w:spacing w:before="156" w:beforeLines="50" w:after="156" w:afterLines="50" w:line="240" w:lineRule="atLeast"/>
        <w:ind w:firstLine="482"/>
        <w:jc w:val="left"/>
        <w:rPr>
          <w:rFonts w:ascii="仿宋_GB2312" w:eastAsia="仿宋_GB2312"/>
          <w:sz w:val="24"/>
        </w:rPr>
      </w:pPr>
      <w:r>
        <w:rPr>
          <w:rFonts w:ascii="仿宋_GB2312" w:eastAsia="仿宋_GB2312"/>
          <w:sz w:val="24"/>
        </w:rPr>
        <w:t xml:space="preserve">以“学生为中心”的教育理念是人本主义教育思想的延伸，其理论基础是人本主义和“建构主义”，它充分肯定学生是教学中的主体，强调教学中“学”的第一性，特别指出了教育要承认和重视学生个体差异对学习活动和效果的影响。因此，以“学生为中心”的内涵可以表述为：在教育活动中，视学生为主体，关注学生的兴趣和个人特点，充分尊重学生的权利和需求，最大限度地调动学生的积极性和主动性，鼓励学生参与到教育活动的各个环节中，鼓励学生为自己的学习负责。 </w:t>
      </w:r>
    </w:p>
    <w:p>
      <w:pPr>
        <w:widowControl/>
        <w:spacing w:before="156" w:beforeLines="50" w:after="156" w:afterLines="50" w:line="240" w:lineRule="atLeast"/>
        <w:ind w:firstLine="482"/>
        <w:jc w:val="left"/>
        <w:rPr>
          <w:rFonts w:ascii="仿宋_GB2312" w:eastAsia="仿宋_GB2312"/>
          <w:sz w:val="24"/>
        </w:rPr>
      </w:pPr>
      <w:r>
        <w:rPr>
          <w:rFonts w:ascii="仿宋_GB2312" w:eastAsia="仿宋_GB2312"/>
          <w:sz w:val="24"/>
        </w:rPr>
        <w:t>　</w:t>
      </w:r>
    </w:p>
    <w:p>
      <w:pPr>
        <w:spacing w:before="156" w:beforeLines="50" w:after="156" w:afterLines="50" w:line="240" w:lineRule="atLeast"/>
        <w:ind w:firstLine="600" w:firstLineChars="250"/>
        <w:jc w:val="left"/>
        <w:rPr>
          <w:rFonts w:ascii="黑体" w:hAnsi="黑体" w:eastAsia="黑体"/>
          <w:sz w:val="24"/>
        </w:rPr>
      </w:pPr>
      <w:r>
        <w:rPr>
          <w:rFonts w:hint="eastAsia" w:ascii="黑体" w:hAnsi="黑体" w:eastAsia="黑体"/>
          <w:sz w:val="24"/>
        </w:rPr>
        <w:t>二、</w:t>
      </w:r>
      <w:r>
        <w:rPr>
          <w:rFonts w:ascii="黑体" w:hAnsi="黑体" w:eastAsia="黑体"/>
          <w:sz w:val="24"/>
        </w:rPr>
        <w:t>两种教学</w:t>
      </w:r>
      <w:r>
        <w:rPr>
          <w:rFonts w:hint="eastAsia" w:ascii="黑体" w:hAnsi="黑体" w:eastAsia="黑体"/>
          <w:sz w:val="24"/>
        </w:rPr>
        <w:t>理念与</w:t>
      </w:r>
      <w:r>
        <w:rPr>
          <w:rFonts w:ascii="黑体" w:hAnsi="黑体" w:eastAsia="黑体"/>
          <w:sz w:val="24"/>
        </w:rPr>
        <w:t>结构特点的</w:t>
      </w:r>
      <w:r>
        <w:rPr>
          <w:rFonts w:hint="eastAsia" w:ascii="黑体" w:hAnsi="黑体" w:eastAsia="黑体"/>
          <w:sz w:val="24"/>
        </w:rPr>
        <w:t>比较分析</w:t>
      </w:r>
    </w:p>
    <w:p>
      <w:pPr>
        <w:spacing w:before="156" w:beforeLines="50" w:after="156" w:afterLines="50" w:line="240" w:lineRule="atLeast"/>
        <w:ind w:firstLine="600" w:firstLineChars="250"/>
        <w:jc w:val="left"/>
        <w:rPr>
          <w:rFonts w:ascii="黑体" w:hAnsi="黑体" w:eastAsia="黑体"/>
          <w:sz w:val="24"/>
        </w:rPr>
      </w:pPr>
      <w:r>
        <w:rPr>
          <w:rFonts w:hint="eastAsia" w:ascii="黑体" w:hAnsi="黑体" w:eastAsia="黑体"/>
          <w:sz w:val="24"/>
        </w:rPr>
        <w:t>1.</w:t>
      </w:r>
      <w:r>
        <w:rPr>
          <w:rFonts w:ascii="黑体" w:hAnsi="黑体" w:eastAsia="黑体"/>
          <w:sz w:val="24"/>
        </w:rPr>
        <w:t xml:space="preserve"> 两种教学</w:t>
      </w:r>
      <w:r>
        <w:rPr>
          <w:rFonts w:hint="eastAsia" w:ascii="黑体" w:hAnsi="黑体" w:eastAsia="黑体"/>
          <w:sz w:val="24"/>
        </w:rPr>
        <w:t>理念与</w:t>
      </w:r>
      <w:r>
        <w:rPr>
          <w:rFonts w:ascii="黑体" w:hAnsi="黑体" w:eastAsia="黑体"/>
          <w:sz w:val="24"/>
        </w:rPr>
        <w:t>结构特点的</w:t>
      </w:r>
      <w:r>
        <w:rPr>
          <w:rFonts w:hint="eastAsia" w:ascii="黑体" w:hAnsi="黑体" w:eastAsia="黑体"/>
          <w:sz w:val="24"/>
        </w:rPr>
        <w:t>比较</w:t>
      </w:r>
    </w:p>
    <w:p>
      <w:pPr>
        <w:spacing w:before="156" w:beforeLines="50" w:after="156" w:afterLines="50" w:line="240" w:lineRule="atLeast"/>
        <w:ind w:firstLine="480" w:firstLineChars="200"/>
        <w:jc w:val="left"/>
        <w:rPr>
          <w:rFonts w:ascii="仿宋_GB2312" w:eastAsia="仿宋_GB2312"/>
          <w:sz w:val="24"/>
        </w:rPr>
      </w:pPr>
      <w:r>
        <w:rPr>
          <w:rFonts w:ascii="仿宋_GB2312" w:eastAsia="仿宋_GB2312"/>
          <w:sz w:val="24"/>
        </w:rPr>
        <w:t xml:space="preserve">基于这两种教学理论，也就自然地产生了相应的两种教学结构，即 “以教师为中心”的教学模式与“以学生为中心”的教学模式。两种教学结构有其各自的特点，某些特点截然相反。 </w:t>
      </w:r>
    </w:p>
    <w:p>
      <w:pPr>
        <w:spacing w:before="156" w:beforeLines="50" w:after="156" w:afterLines="50" w:line="240" w:lineRule="atLeast"/>
        <w:ind w:firstLine="480" w:firstLineChars="200"/>
        <w:jc w:val="left"/>
        <w:rPr>
          <w:rFonts w:ascii="仿宋_GB2312" w:eastAsia="仿宋_GB2312"/>
          <w:sz w:val="24"/>
        </w:rPr>
      </w:pPr>
      <w:r>
        <w:rPr>
          <w:rFonts w:ascii="仿宋_GB2312" w:eastAsia="仿宋_GB2312"/>
          <w:sz w:val="24"/>
        </w:rPr>
        <w:t xml:space="preserve">“以教师为中心”的教学结构特点是：教师是知识的传授者，是主动的施教者，并且监控着整个教学活动的进程；学生是知识传授的对象，是外部刺激的被动接受者；教学媒体是辅助教师教的演示工具；教材是学生的唯一学习内容，是学生知识的主要来源。其重视知识的确定性和普遍性，注重分析和抽象，这在学习的初级阶段是必要并且有其合理性的，但它没能使学生的认识进一步提升，学生获得的往往只是零散的教条式的书本知识。 </w:t>
      </w:r>
    </w:p>
    <w:p>
      <w:pPr>
        <w:spacing w:before="156" w:beforeLines="50" w:after="156" w:afterLines="50" w:line="240" w:lineRule="atLeast"/>
        <w:ind w:firstLine="480" w:firstLineChars="200"/>
        <w:jc w:val="left"/>
        <w:rPr>
          <w:rFonts w:ascii="仿宋_GB2312" w:eastAsia="仿宋_GB2312"/>
          <w:sz w:val="24"/>
        </w:rPr>
      </w:pPr>
      <w:r>
        <w:rPr>
          <w:rFonts w:ascii="仿宋_GB2312" w:eastAsia="仿宋_GB2312"/>
          <w:sz w:val="24"/>
        </w:rPr>
        <w:t>“以学生为中心”的教学结构的特点是：学生是信息加工的主体，是知识意义和内涵的主动建构者；教师是课堂教学的组织者、指导者，是学生建构意义的帮助者、促进者；教学媒体是促进学生自主学习的认知工具；教材不是学生的主要学习内容；学生通过互联网技术途径完全可以实现自主学习。这种教学结构更关注学习中具体的非结构性的知识层面，并在此领域进行了深入研究。总体来说，建构主义的学习理论更适合于学习的高级阶段，对于如何使学生的认识由抽象走向“思维中的具体”是很有启发的。它重视学习活动中学生的主体性作用、实践能力和创新能力，重视学生面对具体情境进行有意义的建构，这相对于经典学习理论是一种进步。　</w:t>
      </w:r>
    </w:p>
    <w:p>
      <w:pPr>
        <w:spacing w:before="156" w:beforeLines="50" w:after="156" w:afterLines="50" w:line="240" w:lineRule="atLeast"/>
        <w:ind w:firstLine="600" w:firstLineChars="250"/>
        <w:jc w:val="left"/>
        <w:rPr>
          <w:rFonts w:ascii="黑体" w:hAnsi="黑体" w:eastAsia="黑体"/>
          <w:sz w:val="24"/>
        </w:rPr>
      </w:pPr>
      <w:r>
        <w:rPr>
          <w:rFonts w:hint="eastAsia" w:ascii="仿宋_GB2312" w:eastAsia="仿宋_GB2312"/>
          <w:sz w:val="24"/>
        </w:rPr>
        <w:t>2.</w:t>
      </w:r>
      <w:r>
        <w:rPr>
          <w:rFonts w:ascii="黑体" w:hAnsi="黑体" w:eastAsia="黑体"/>
          <w:sz w:val="24"/>
        </w:rPr>
        <w:t xml:space="preserve"> 教学</w:t>
      </w:r>
      <w:r>
        <w:rPr>
          <w:rFonts w:hint="eastAsia" w:ascii="黑体" w:hAnsi="黑体" w:eastAsia="黑体"/>
          <w:sz w:val="24"/>
        </w:rPr>
        <w:t>理念与教育发展分析</w:t>
      </w:r>
    </w:p>
    <w:p>
      <w:pPr>
        <w:spacing w:before="156" w:beforeLines="50" w:after="156" w:afterLines="50" w:line="240" w:lineRule="atLeast"/>
        <w:ind w:firstLine="480" w:firstLineChars="200"/>
        <w:jc w:val="left"/>
        <w:rPr>
          <w:rFonts w:ascii="仿宋_GB2312" w:eastAsia="仿宋_GB2312"/>
          <w:sz w:val="24"/>
        </w:rPr>
      </w:pPr>
      <w:r>
        <w:rPr>
          <w:rFonts w:ascii="仿宋_GB2312" w:eastAsia="仿宋_GB2312"/>
          <w:sz w:val="24"/>
        </w:rPr>
        <w:t>这两种教学</w:t>
      </w:r>
      <w:r>
        <w:rPr>
          <w:rFonts w:hint="eastAsia" w:ascii="仿宋_GB2312" w:eastAsia="仿宋_GB2312"/>
          <w:sz w:val="24"/>
        </w:rPr>
        <w:t>理念与</w:t>
      </w:r>
      <w:r>
        <w:rPr>
          <w:rFonts w:ascii="仿宋_GB2312" w:eastAsia="仿宋_GB2312"/>
          <w:sz w:val="24"/>
        </w:rPr>
        <w:t>结构</w:t>
      </w:r>
      <w:r>
        <w:rPr>
          <w:rFonts w:hint="eastAsia" w:ascii="仿宋_GB2312" w:eastAsia="仿宋_GB2312"/>
          <w:sz w:val="24"/>
        </w:rPr>
        <w:t>虽说</w:t>
      </w:r>
      <w:r>
        <w:rPr>
          <w:rFonts w:ascii="仿宋_GB2312" w:eastAsia="仿宋_GB2312"/>
          <w:sz w:val="24"/>
        </w:rPr>
        <w:t>各有特点、各有利弊，也各有自己的适应性，不存在孰优孰劣的问题。</w:t>
      </w:r>
      <w:r>
        <w:rPr>
          <w:rFonts w:hint="eastAsia" w:ascii="仿宋_GB2312" w:eastAsia="仿宋_GB2312"/>
          <w:sz w:val="24"/>
        </w:rPr>
        <w:t>但</w:t>
      </w:r>
      <w:r>
        <w:rPr>
          <w:rFonts w:ascii="仿宋_GB2312" w:eastAsia="仿宋_GB2312"/>
          <w:sz w:val="24"/>
        </w:rPr>
        <w:t>在教育国际化的背景下，“以学生为中心</w:t>
      </w:r>
      <w:r>
        <w:rPr>
          <w:rFonts w:hint="eastAsia" w:ascii="仿宋_GB2312" w:eastAsia="仿宋_GB2312"/>
          <w:sz w:val="24"/>
        </w:rPr>
        <w:t>、</w:t>
      </w:r>
      <w:r>
        <w:rPr>
          <w:rFonts w:ascii="仿宋_GB2312" w:eastAsia="仿宋_GB2312"/>
          <w:sz w:val="24"/>
        </w:rPr>
        <w:t>成果为导向”的教育理念正影响着我国高等教育的改革与发展</w:t>
      </w:r>
      <w:r>
        <w:rPr>
          <w:rFonts w:hint="eastAsia" w:ascii="仿宋_GB2312" w:eastAsia="仿宋_GB2312"/>
          <w:sz w:val="24"/>
        </w:rPr>
        <w:t>。国际化是我国教育发展和教育现代化的必由之路，我国先后成为《华盛顿协议》、《悉尼协议》的签约会员</w:t>
      </w:r>
      <w:r>
        <w:rPr>
          <w:rFonts w:ascii="仿宋_GB2312" w:eastAsia="仿宋_GB2312"/>
          <w:sz w:val="24"/>
        </w:rPr>
        <w:t>，</w:t>
      </w:r>
      <w:r>
        <w:rPr>
          <w:rFonts w:hint="eastAsia" w:ascii="仿宋_GB2312" w:eastAsia="仿宋_GB2312"/>
          <w:sz w:val="24"/>
        </w:rPr>
        <w:t>这标志着我国工程教育及其质量保障迈出了重大一步</w:t>
      </w:r>
      <w:r>
        <w:rPr>
          <w:rFonts w:ascii="仿宋_GB2312" w:eastAsia="仿宋_GB2312"/>
          <w:sz w:val="24"/>
        </w:rPr>
        <w:t>，</w:t>
      </w:r>
      <w:r>
        <w:rPr>
          <w:rFonts w:hint="eastAsia" w:ascii="仿宋_GB2312" w:eastAsia="仿宋_GB2312"/>
          <w:sz w:val="24"/>
        </w:rPr>
        <w:t>一定程度上表明我国工程教育的质量得到了国际社会的认可，也是促进我国按照国际标准开展人才培养，这对我国工程技术领域应对国际竞争、走向世界具有重要意义。</w:t>
      </w:r>
    </w:p>
    <w:p>
      <w:pPr>
        <w:spacing w:before="156" w:beforeLines="50" w:after="156" w:afterLines="50" w:line="240" w:lineRule="atLeast"/>
        <w:ind w:firstLine="480" w:firstLineChars="200"/>
        <w:jc w:val="left"/>
        <w:rPr>
          <w:rFonts w:ascii="仿宋_GB2312" w:eastAsia="仿宋_GB2312"/>
          <w:sz w:val="24"/>
        </w:rPr>
      </w:pPr>
      <w:r>
        <w:rPr>
          <w:rFonts w:hint="eastAsia" w:ascii="仿宋_GB2312" w:eastAsia="仿宋_GB2312"/>
          <w:sz w:val="24"/>
        </w:rPr>
        <w:t>近些年来，中国髙等职业教育在规模上发展很大，但在质量上尚未充分满足社会对职业人才的需求，根据有关材料显示，我国高等职业教育的国际化竞争力与很多发达国家相比还是有一定的差距，这也反映了高等职业教育在国际化职业人才培养方面任重而道远。因此，在中国未来向后工业社会和中等发达程度迈进的过程中</w:t>
      </w:r>
      <w:r>
        <w:rPr>
          <w:rFonts w:ascii="仿宋_GB2312" w:eastAsia="仿宋_GB2312"/>
          <w:sz w:val="24"/>
        </w:rPr>
        <w:t>，</w:t>
      </w:r>
      <w:r>
        <w:rPr>
          <w:rFonts w:hint="eastAsia" w:ascii="仿宋_GB2312" w:eastAsia="仿宋_GB2312"/>
          <w:sz w:val="24"/>
        </w:rPr>
        <w:t>提高对职业教育的投入，扩大职业教育的规模，建立完善、灵活、融通的职业教育结构体系，参与并举办国际各类职业技能比赛，专项研讨体验和制定国际规则，促进教育模式国际化，加强教育成果国际化、育人方式和评价国际化，加强学分学历互认，仍应是我国职业教育发展的基本方向</w:t>
      </w:r>
      <w:r>
        <w:rPr>
          <w:rFonts w:ascii="仿宋_GB2312" w:eastAsia="仿宋_GB2312"/>
          <w:sz w:val="24"/>
        </w:rPr>
        <w:t>。</w:t>
      </w:r>
      <w:r>
        <w:rPr>
          <w:rFonts w:hint="eastAsia" w:ascii="仿宋_GB2312" w:eastAsia="仿宋_GB2312"/>
          <w:sz w:val="24"/>
        </w:rPr>
        <w:t>发达国家在世纪中期已经意识到地区实行实质等效的人才互认的重要性，到八九十年代已经形成了相对成熟的专业认证体系。到21世纪，根据工程职业能力的分类，工程专业教育认证体系被国际组织分为针对“专业工程师”的《华盛顿协议》、针对“工程技术专家”的《悉尼协议》和针对“工程技术员”的《都柏林协议》。全面加入国际工程教育认证，走向工程教育的国际化是未来发展的必然趋势。</w:t>
      </w:r>
      <w:r>
        <w:rPr>
          <w:rFonts w:ascii="仿宋_GB2312" w:eastAsia="仿宋_GB2312"/>
          <w:sz w:val="24"/>
        </w:rPr>
        <w:t xml:space="preserve"> </w:t>
      </w:r>
    </w:p>
    <w:p>
      <w:pPr>
        <w:spacing w:before="156" w:beforeLines="50" w:after="156" w:afterLines="50" w:line="240" w:lineRule="atLeast"/>
        <w:ind w:firstLine="600" w:firstLineChars="250"/>
        <w:jc w:val="left"/>
        <w:rPr>
          <w:rFonts w:ascii="黑体" w:hAnsi="黑体" w:eastAsia="黑体"/>
          <w:sz w:val="24"/>
        </w:rPr>
      </w:pPr>
      <w:r>
        <w:rPr>
          <w:rFonts w:hint="eastAsia" w:ascii="黑体" w:hAnsi="黑体" w:eastAsia="黑体"/>
          <w:sz w:val="24"/>
        </w:rPr>
        <w:t>三、以学习成果为导向的教育教学理念比较分析</w:t>
      </w:r>
    </w:p>
    <w:p>
      <w:pPr>
        <w:spacing w:before="156" w:beforeLines="50" w:after="156" w:afterLines="50" w:line="240" w:lineRule="atLeast"/>
        <w:ind w:firstLine="600" w:firstLineChars="250"/>
        <w:jc w:val="left"/>
        <w:rPr>
          <w:rFonts w:ascii="黑体" w:hAnsi="黑体" w:eastAsia="黑体"/>
          <w:sz w:val="24"/>
        </w:rPr>
      </w:pPr>
      <w:r>
        <w:rPr>
          <w:rFonts w:hint="eastAsia" w:ascii="黑体" w:hAnsi="黑体" w:eastAsia="黑体"/>
          <w:sz w:val="24"/>
        </w:rPr>
        <w:t>1.具有现实意义教育教学改革</w:t>
      </w:r>
    </w:p>
    <w:p>
      <w:pPr>
        <w:spacing w:before="156" w:beforeLines="50" w:after="156" w:afterLines="50" w:line="240" w:lineRule="atLeast"/>
        <w:ind w:firstLine="480" w:firstLineChars="200"/>
        <w:jc w:val="left"/>
        <w:rPr>
          <w:rFonts w:ascii="仿宋_GB2312" w:eastAsia="仿宋_GB2312"/>
          <w:sz w:val="24"/>
        </w:rPr>
      </w:pPr>
      <w:r>
        <w:rPr>
          <w:rFonts w:hint="eastAsia" w:ascii="仿宋_GB2312" w:eastAsia="仿宋_GB2312"/>
          <w:sz w:val="24"/>
        </w:rPr>
        <w:t>我国现行教学理念大多关注的焦点是“教师”。我们关注教师应该教什么？应该怎么教？认为提升教师的教学水平就等于提高了教学质量，而事实上在近30年的教育教学改革中，似乎没有体现出教师水平与学生学习成果的相互匹配、他们之间没有出现正比关系。教学水平很高的教师，教出的学生也不一定就水平高，这一现象是当下教学改革值得思考的一个问题。</w:t>
      </w:r>
    </w:p>
    <w:p>
      <w:pPr>
        <w:spacing w:before="156" w:beforeLines="50" w:after="156" w:afterLines="50" w:line="240" w:lineRule="atLeast"/>
        <w:ind w:firstLine="480" w:firstLineChars="200"/>
        <w:jc w:val="left"/>
        <w:rPr>
          <w:rFonts w:ascii="仿宋_GB2312" w:eastAsia="仿宋_GB2312"/>
          <w:sz w:val="24"/>
        </w:rPr>
      </w:pPr>
      <w:r>
        <w:rPr>
          <w:rFonts w:hint="eastAsia" w:ascii="仿宋_GB2312" w:eastAsia="仿宋_GB2312"/>
          <w:sz w:val="24"/>
        </w:rPr>
        <w:t>随着社会经济的发展，人们对教育投入和回报问题开始研究和思考，受教育者开始以消费者的视角审视教育投入和回报的问题，随着法制建设的逐步完善，公共问责制也开始受到关注，教育教学的改革将逐步重视受教育者的学习成果的问题，人们将更加关注教育投入的回报与实际产出的现实需要，因此树立以学习成果导的教育理念应该逐步在我们的教师和教学过程中推行。</w:t>
      </w:r>
    </w:p>
    <w:p>
      <w:pPr>
        <w:spacing w:before="156" w:beforeLines="50" w:after="156" w:afterLines="50" w:line="240" w:lineRule="atLeast"/>
        <w:ind w:firstLine="480" w:firstLineChars="200"/>
        <w:jc w:val="left"/>
        <w:rPr>
          <w:rFonts w:ascii="仿宋_GB2312" w:eastAsia="仿宋_GB2312"/>
          <w:sz w:val="24"/>
        </w:rPr>
      </w:pPr>
      <w:r>
        <w:rPr>
          <w:rFonts w:hint="eastAsia" w:ascii="仿宋_GB2312" w:eastAsia="仿宋_GB2312"/>
          <w:sz w:val="24"/>
        </w:rPr>
        <w:t>以学习成果委导向的教育理念</w:t>
      </w:r>
      <w:r>
        <w:rPr>
          <w:rFonts w:ascii="仿宋_GB2312" w:eastAsia="仿宋_GB2312"/>
          <w:sz w:val="24"/>
        </w:rPr>
        <w:t xml:space="preserve">(Outcome-based Education,OBE) </w:t>
      </w:r>
      <w:r>
        <w:rPr>
          <w:rFonts w:hint="eastAsia" w:ascii="仿宋_GB2312" w:eastAsia="仿宋_GB2312"/>
          <w:sz w:val="24"/>
        </w:rPr>
        <w:t>在美国、英国、加拿大等国家成为了教育改革的主流理念。OBE是由美国首先提出来的。作为教育强国的美国，人们对其在科技方面的贡献及表现并不满意，例如人造地球卫星由前苏联抢先发射成功等，人们开始反思教育的实用性以及教育成果的重要性。在这种背景下，OBE在1981年由Spady率先提出后，以惊人的速度获得了广泛重视和应用。经过此后10年左右的发展，形成了比较完整的理论体系，至今仍被认为是追求卓越教育的正确方向。</w:t>
      </w:r>
    </w:p>
    <w:p>
      <w:pPr>
        <w:spacing w:before="156" w:beforeLines="50" w:after="156" w:afterLines="50" w:line="240" w:lineRule="atLeast"/>
        <w:ind w:firstLine="480" w:firstLineChars="200"/>
        <w:jc w:val="left"/>
        <w:rPr>
          <w:rFonts w:ascii="仿宋_GB2312" w:eastAsia="仿宋_GB2312"/>
          <w:sz w:val="24"/>
        </w:rPr>
      </w:pPr>
      <w:r>
        <w:rPr>
          <w:rFonts w:hint="eastAsia" w:ascii="仿宋_GB2312" w:eastAsia="仿宋_GB2312"/>
          <w:sz w:val="24"/>
        </w:rPr>
        <w:t>当前，我国现有的专业建设，如人才培养计划的制订、教学方式的改进、职业意识的传授、毕业生要求的达成等等更多的还是局限在国内同行借鉴、经验参考的层面上，高职教育所采用的国外经验如德国、新加坡、台湾模式等，也大多是偏于教育者自身的需求方面，比如产学合作、工学结合等等。中国高职教育现在面临的问题是要走一条以学生为中心</w:t>
      </w:r>
      <w:r>
        <w:rPr>
          <w:rFonts w:ascii="仿宋_GB2312" w:eastAsia="仿宋_GB2312"/>
          <w:sz w:val="24"/>
        </w:rPr>
        <w:t>，</w:t>
      </w:r>
      <w:r>
        <w:rPr>
          <w:rFonts w:hint="eastAsia" w:ascii="仿宋_GB2312" w:eastAsia="仿宋_GB2312"/>
          <w:sz w:val="24"/>
        </w:rPr>
        <w:t>以结果为导向（成果为导向）、以专业建设为抓手的内涵式发展之路，这是“后示范”“后骨干”“一流高职”“创新强校工程”时期的必由之路。</w:t>
      </w:r>
      <w:r>
        <w:rPr>
          <w:rFonts w:ascii="仿宋_GB2312" w:eastAsia="仿宋_GB2312"/>
          <w:sz w:val="24"/>
        </w:rPr>
        <w:t xml:space="preserve"> </w:t>
      </w:r>
      <w:r>
        <w:rPr>
          <w:rFonts w:hint="eastAsia" w:ascii="仿宋_GB2312" w:eastAsia="仿宋_GB2312"/>
          <w:sz w:val="24"/>
        </w:rPr>
        <w:t>从这个意义上来说，《悉尼协议》具有极强的参考意义。《悉尼协议》对学生的培养目标、学生学习要求及毕业生应掌握的知识、技能要求都做了明确规定</w:t>
      </w:r>
      <w:r>
        <w:rPr>
          <w:rFonts w:ascii="仿宋_GB2312" w:eastAsia="仿宋_GB2312"/>
          <w:sz w:val="24"/>
        </w:rPr>
        <w:t>；</w:t>
      </w:r>
      <w:r>
        <w:rPr>
          <w:rFonts w:hint="eastAsia" w:ascii="仿宋_GB2312" w:eastAsia="仿宋_GB2312"/>
          <w:sz w:val="24"/>
        </w:rPr>
        <w:t>同时对课程体系、师资队伍、专业的持续改进须达到要求也做了明确的规定</w:t>
      </w:r>
      <w:r>
        <w:rPr>
          <w:rFonts w:ascii="仿宋_GB2312" w:eastAsia="仿宋_GB2312"/>
          <w:sz w:val="24"/>
        </w:rPr>
        <w:t>。</w:t>
      </w:r>
      <w:r>
        <w:rPr>
          <w:rFonts w:hint="eastAsia" w:ascii="仿宋_GB2312" w:eastAsia="仿宋_GB2312"/>
          <w:sz w:val="24"/>
        </w:rPr>
        <w:t>《悉尼协议》提倡以“学生为中心”、“以结果为导向”，同时倡导专业与课程根据社会经济发展持续改进，以满足社会对人才的需求。</w:t>
      </w:r>
      <w:r>
        <w:rPr>
          <w:rFonts w:ascii="仿宋_GB2312" w:eastAsia="仿宋_GB2312"/>
          <w:sz w:val="24"/>
        </w:rPr>
        <w:t xml:space="preserve"> </w:t>
      </w:r>
      <w:r>
        <w:rPr>
          <w:rFonts w:hint="eastAsia" w:ascii="仿宋_GB2312" w:eastAsia="仿宋_GB2312"/>
          <w:sz w:val="24"/>
        </w:rPr>
        <w:t>这对改善我国当前相对封闭、静态的教学和质量保证体系而言显然值得学习与借鉴，只有推进动态的、开放的、持续改进的质量保证体系，只有不断反馈和评价教育教学工作的效果，发现需要改进的教学环节并进行及时的修正，才能根本保证培养质量的保持和提高。才能真正推动专业建设的内涵式发展。</w:t>
      </w:r>
      <w:r>
        <w:rPr>
          <w:rFonts w:ascii="仿宋_GB2312" w:eastAsia="仿宋_GB2312"/>
          <w:sz w:val="24"/>
        </w:rPr>
        <w:t xml:space="preserve"> </w:t>
      </w:r>
    </w:p>
    <w:p>
      <w:pPr>
        <w:spacing w:before="156" w:beforeLines="50" w:after="156" w:afterLines="50" w:line="240" w:lineRule="atLeast"/>
        <w:ind w:firstLine="600" w:firstLineChars="250"/>
        <w:jc w:val="left"/>
        <w:rPr>
          <w:rFonts w:ascii="黑体" w:hAnsi="黑体" w:eastAsia="黑体"/>
          <w:sz w:val="24"/>
        </w:rPr>
      </w:pPr>
      <w:r>
        <w:rPr>
          <w:rFonts w:hint="eastAsia" w:ascii="黑体" w:hAnsi="黑体" w:eastAsia="黑体"/>
          <w:sz w:val="24"/>
        </w:rPr>
        <w:t>2.可以较好地实现从学科导向向目标导向转变</w:t>
      </w:r>
    </w:p>
    <w:p>
      <w:pPr>
        <w:widowControl/>
        <w:spacing w:before="156" w:beforeLines="50" w:after="156" w:afterLines="50" w:line="240" w:lineRule="atLeast"/>
        <w:ind w:firstLine="480"/>
        <w:jc w:val="left"/>
        <w:rPr>
          <w:rFonts w:ascii="仿宋_GB2312" w:eastAsia="仿宋_GB2312"/>
          <w:sz w:val="24"/>
        </w:rPr>
      </w:pPr>
      <w:r>
        <w:rPr>
          <w:rFonts w:hint="eastAsia" w:ascii="仿宋_GB2312" w:eastAsia="仿宋_GB2312"/>
          <w:sz w:val="24"/>
        </w:rPr>
        <w:t>传统的工程教育是学科导向的，它遵循专业设置按学科划分的原则，教育模式倾向于解决确定的、线性的、静止封闭问题的科学模式，知识结构强调学科知识体系的系统性和完备性，教学设计更加注重学科的需要，而在一定程度上忽视了专业的需求。成果导向的工程教育是目标导向的，它遵循的是反向设计原则，其“反向”是相对于传统工程教育的“正向”而言的。反向设计是从需求（包括内部需求和外部需求）开始，由需求决定培养目标，再由培养目标决定毕业要求，再由毕业要求决定课程体系。正向设计是从课程体系开始，逆反向过程到毕业要求，再到培养目标，再到需求。然而，这时的需求一般只能满足内部需求，而不一定能满足外部需求，因为它是教育的结果而不是教育的目标。因此，传统工程教育对国家、社会和用人单位等外部需求只能“适应”，而很难做到“满足”。而目标导向下的工程教育则不然，它是反向设计、正向实施，这时“需求”既是起点又是终点，从而最大程度上保证了教育目标与结果的一致性。</w:t>
      </w:r>
    </w:p>
    <w:p>
      <w:pPr>
        <w:widowControl/>
        <w:spacing w:before="156" w:beforeLines="50" w:after="156" w:afterLines="50" w:line="240" w:lineRule="atLeast"/>
        <w:ind w:firstLine="480"/>
        <w:jc w:val="left"/>
        <w:rPr>
          <w:rFonts w:ascii="仿宋_GB2312" w:eastAsia="仿宋_GB2312"/>
          <w:sz w:val="24"/>
        </w:rPr>
      </w:pPr>
      <w:r>
        <w:rPr>
          <w:rFonts w:hint="eastAsia" w:ascii="仿宋_GB2312" w:eastAsia="仿宋_GB2312"/>
          <w:sz w:val="24"/>
        </w:rPr>
        <w:t>目标导向下的工程教育在教学设计与实施中强调如下四个方面：培养目标要以需求为导向，毕业要求要以培养目标为导向，课程体系和课程教学要以毕业要求为导向，资源配置要以支撑毕业要求与培养目标的达成为导向。毕业要求的达成要能支撑培养目标的达成，课程教学要求的达成要能支撑毕业要求的达成。所有参与教学的教师要明确自己所教对达成毕业要求和培养目标的贡献与责任，每位学生要明确自己所学对达成毕业要求和培养目标的作用。培养目标和毕业要求的表述要有利于对目标和要求的达成度进行评价。</w:t>
      </w:r>
    </w:p>
    <w:p>
      <w:pPr>
        <w:spacing w:before="156" w:beforeLines="50" w:after="156" w:afterLines="50" w:line="240" w:lineRule="atLeast"/>
        <w:ind w:firstLine="600" w:firstLineChars="250"/>
        <w:jc w:val="left"/>
        <w:rPr>
          <w:rFonts w:ascii="黑体" w:hAnsi="黑体" w:eastAsia="黑体"/>
          <w:sz w:val="24"/>
        </w:rPr>
      </w:pPr>
      <w:r>
        <w:rPr>
          <w:rFonts w:hint="eastAsia" w:ascii="黑体" w:hAnsi="黑体" w:eastAsia="黑体"/>
          <w:sz w:val="24"/>
        </w:rPr>
        <w:t>3.可以实现从以教师中心向学生中心转变</w:t>
      </w:r>
    </w:p>
    <w:p>
      <w:pPr>
        <w:widowControl/>
        <w:spacing w:before="156" w:beforeLines="50" w:after="156" w:afterLines="50" w:line="240" w:lineRule="atLeast"/>
        <w:ind w:firstLine="480"/>
        <w:jc w:val="left"/>
        <w:rPr>
          <w:rFonts w:ascii="仿宋_GB2312" w:eastAsia="仿宋_GB2312"/>
          <w:sz w:val="24"/>
        </w:rPr>
      </w:pPr>
      <w:r>
        <w:rPr>
          <w:rFonts w:hint="eastAsia" w:ascii="仿宋_GB2312" w:eastAsia="仿宋_GB2312"/>
          <w:sz w:val="24"/>
        </w:rPr>
        <w:t>所谓以教师为中心是指，教学设计主要取决于教什么，教学过程主要取决于怎么教，教学评价主要取决于教得怎么样，这是学科导向教育的必然。所谓以学生为中心是指，教学设计主要取决于学什么，教学过程主要取决于怎么学，教学评价主要取决于学得怎么样，这是成果导向教育的使然。也就是说，以学生为中心的工程教育要求整个教学设计与教学实施都要紧紧围绕促进学生达到学习成果（毕业要求）来进行，要求提供适切的教育环境、了解学生学什么（内容）和如何学（方式与策略）、引导学生进行有效学习，并实施适切的教学评价来适时掌握学生的学习成效。</w:t>
      </w:r>
    </w:p>
    <w:p>
      <w:pPr>
        <w:widowControl/>
        <w:spacing w:before="156" w:beforeLines="50" w:after="156" w:afterLines="50" w:line="240" w:lineRule="atLeast"/>
        <w:ind w:firstLine="480"/>
        <w:jc w:val="left"/>
        <w:rPr>
          <w:rFonts w:ascii="仿宋_GB2312" w:eastAsia="仿宋_GB2312"/>
          <w:sz w:val="24"/>
        </w:rPr>
      </w:pPr>
      <w:r>
        <w:rPr>
          <w:rFonts w:hint="eastAsia" w:ascii="仿宋_GB2312" w:eastAsia="仿宋_GB2312"/>
          <w:sz w:val="24"/>
        </w:rPr>
        <w:t>以学生为中心的工程教育主要体现在如下几个方面：培养目标与毕业要求紧紧围绕学生的发展来确定；教学内容根据对学生的期望而设计；师资与其它支撑条件判断标准是是否有利于学生达成预期目标；评价的焦点是学生学习效果与表现；是面向全体学生而不是个别优秀学生。以学生为中心的工程教育强调“教主于学”的教学理念，即教之主体在于学、教之目的在于学、教之效果在于学。遵循以学论教的教学原则，即教什么取决于学什么，怎么教取决于怎么学，教得怎么样取决于学得怎么样。重教轻学是传统工程教育的痼疾，至今仍然主导着课堂教学。要改变这种状况，必须解决两个基本问题：教学本质与教学理念。</w:t>
      </w:r>
    </w:p>
    <w:p>
      <w:pPr>
        <w:spacing w:before="156" w:beforeLines="50" w:after="156" w:afterLines="50" w:line="240" w:lineRule="atLeast"/>
        <w:ind w:firstLine="600" w:firstLineChars="250"/>
        <w:jc w:val="left"/>
        <w:rPr>
          <w:rFonts w:ascii="仿宋_GB2312" w:eastAsia="仿宋_GB2312"/>
          <w:b/>
          <w:sz w:val="24"/>
        </w:rPr>
      </w:pPr>
      <w:r>
        <w:rPr>
          <w:rFonts w:hint="eastAsia" w:ascii="黑体" w:hAnsi="黑体" w:eastAsia="黑体"/>
          <w:sz w:val="24"/>
        </w:rPr>
        <w:t>4.可以实现从质量监控向持续改进转变</w:t>
      </w:r>
    </w:p>
    <w:p>
      <w:pPr>
        <w:widowControl/>
        <w:spacing w:before="156" w:beforeLines="50" w:after="156" w:afterLines="50" w:line="240" w:lineRule="atLeast"/>
        <w:ind w:firstLine="480"/>
        <w:jc w:val="left"/>
        <w:rPr>
          <w:rFonts w:ascii="仿宋_GB2312" w:eastAsia="仿宋_GB2312"/>
          <w:sz w:val="24"/>
        </w:rPr>
      </w:pPr>
      <w:r>
        <w:rPr>
          <w:rFonts w:hint="eastAsia" w:ascii="仿宋_GB2312" w:eastAsia="仿宋_GB2312"/>
          <w:sz w:val="24"/>
        </w:rPr>
        <w:t>我国高校目前的教学质量管理，还停留在对教学环节进行质量监控的初级阶段，初步具备了监督、调控功能，但缺乏改进功能。一个具有完善功能的质量管理体系应该具备“闭环”特征，即通过监督功能发现偏差，通过调控功能纠正这些偏差，再通过改进功能分析产生这些偏差的原因，并对系统进行改进。也就是说，这三个功能是首尾搭接，互为输入和输出的关系。</w:t>
      </w:r>
    </w:p>
    <w:p>
      <w:pPr>
        <w:widowControl/>
        <w:spacing w:before="156" w:beforeLines="50" w:after="156" w:afterLines="50" w:line="240" w:lineRule="atLeast"/>
        <w:ind w:firstLine="480"/>
        <w:jc w:val="left"/>
        <w:rPr>
          <w:rFonts w:ascii="仿宋_GB2312" w:eastAsia="仿宋_GB2312"/>
          <w:sz w:val="24"/>
        </w:rPr>
      </w:pPr>
      <w:r>
        <w:rPr>
          <w:rFonts w:hint="eastAsia" w:ascii="仿宋_GB2312" w:eastAsia="仿宋_GB2312"/>
          <w:sz w:val="24"/>
        </w:rPr>
        <w:t>成果导向的工程教育是一个持续改进的过程。它要求建立一种有效的持续改进机制，从而实现如下功能：能够持续地改进培养目标，以保障其始终与内、外部需求相符合；能够持续地改进毕业要求，以保障其始终与培养目标相符合；能够持续地改进教学活动，以保障其始终与毕业要求相符合。</w:t>
      </w:r>
    </w:p>
    <w:p>
      <w:pPr>
        <w:widowControl/>
        <w:spacing w:before="156" w:beforeLines="50" w:after="156" w:afterLines="50" w:line="240" w:lineRule="atLeast"/>
        <w:ind w:firstLine="480"/>
        <w:jc w:val="left"/>
        <w:rPr>
          <w:rFonts w:ascii="仿宋_GB2312" w:eastAsia="仿宋_GB2312"/>
          <w:sz w:val="24"/>
        </w:rPr>
      </w:pPr>
      <w:r>
        <w:rPr>
          <w:rFonts w:hint="eastAsia" w:ascii="仿宋_GB2312" w:eastAsia="仿宋_GB2312"/>
          <w:sz w:val="24"/>
        </w:rPr>
        <w:t>建立持续改进体系的要点包括“1个目标、2条主线和3个改进”：1个目标是保障质量，2条主线包括培养目标的符合度与达成度和毕业要求的符合度与达成度，3个改进为培养目标的持续改进、毕业要求的持续改进和教学活动的持续改进。这3个改进，通过三个循环来实现，即：通过外循环持续改进培养目标、通过内循环持续改进毕业要求、通过成果循环持续改进教学活动。培养目标和毕业要求的符合度与达成度这两条主线，是对其符合度和达成度的评价与改进过程。首先，评价毕业要求（培养目标）是否与培养目标（内外需要）相符合，如果不符合，就要改进毕业要求（培养目标）；然后，评价毕业要求（培养目标）是否达成，如果没有达成，就要改进教学活动（毕业要求）。教学活动的改进包括课程体系、师资队伍、支持条件、学生的学习机会、教学过程和教学评价等。</w:t>
      </w:r>
    </w:p>
    <w:p>
      <w:pPr>
        <w:widowControl/>
        <w:spacing w:before="156" w:beforeLines="50" w:after="156" w:afterLines="50" w:line="240" w:lineRule="atLeast"/>
        <w:ind w:firstLine="480"/>
        <w:jc w:val="left"/>
        <w:rPr>
          <w:rFonts w:ascii="仿宋_GB2312" w:eastAsia="仿宋_GB2312"/>
          <w:b/>
          <w:sz w:val="24"/>
        </w:rPr>
      </w:pPr>
      <w:r>
        <w:rPr>
          <w:rFonts w:hint="eastAsia" w:ascii="仿宋_GB2312" w:eastAsia="仿宋_GB2312"/>
          <w:b/>
          <w:sz w:val="24"/>
        </w:rPr>
        <w:t>5.可以有效促进我国高等职业教育的国际化进程</w:t>
      </w:r>
    </w:p>
    <w:p>
      <w:pPr>
        <w:widowControl/>
        <w:spacing w:before="156" w:beforeLines="50" w:after="156" w:afterLines="50" w:line="240" w:lineRule="atLeast"/>
        <w:ind w:firstLine="480"/>
        <w:jc w:val="left"/>
        <w:rPr>
          <w:rFonts w:ascii="仿宋_GB2312" w:eastAsia="仿宋_GB2312"/>
          <w:sz w:val="24"/>
        </w:rPr>
      </w:pPr>
      <w:r>
        <w:rPr>
          <w:rFonts w:ascii="仿宋_GB2312" w:eastAsia="仿宋_GB2312"/>
          <w:sz w:val="24"/>
        </w:rPr>
        <w:t>《国家中长期教育改革与规划发展纲要（2010-2020年）》首次从国家层面正式提出教育国际化</w:t>
      </w:r>
      <w:r>
        <w:rPr>
          <w:rFonts w:hint="eastAsia" w:ascii="仿宋_GB2312" w:eastAsia="仿宋_GB2312"/>
          <w:sz w:val="24"/>
        </w:rPr>
        <w:t>，“教育十三五规划”和十八大以来，国家鼓励借鉴国际经验开展人才培养模式改革与创新，逐步实现教育国际化。</w:t>
      </w:r>
      <w:r>
        <w:rPr>
          <w:rFonts w:ascii="仿宋_GB2312" w:eastAsia="仿宋_GB2312"/>
          <w:sz w:val="24"/>
        </w:rPr>
        <w:t>教育领域的国际化即教育资源在国际范围配置，要素在国际流动，通过借鉴国际的先进教育理念与教育经验来促进教育领域的改革和发展，最终目的是提升教育的国际地位、影响力和竞争力，培养具有国际视野、通晓国际规则、能够参与国际事务和国际竞争的国际化人才。</w:t>
      </w:r>
      <w:r>
        <w:rPr>
          <w:rFonts w:hint="eastAsia" w:ascii="仿宋_GB2312" w:eastAsia="仿宋_GB2312"/>
          <w:sz w:val="24"/>
        </w:rPr>
        <w:t>在这一大背景下，推动  “以学生为中心、以成果为导向”的教育教学模式改革创新，促进高等职业教育发展提供了一个难得的历史机遇，如果能依靠我们的制度优势，抓住机遇，因势利导，实现高等职业教育质量的质的飞跃，那么我们就有可能在高等职业教育竞争中走在前列。这也是有效促进我国高等职业教育国际化进程的有效途径。</w:t>
      </w:r>
    </w:p>
    <w:p>
      <w:pPr>
        <w:widowControl/>
        <w:spacing w:before="156" w:beforeLines="50" w:after="156" w:afterLines="50" w:line="0" w:lineRule="atLeast"/>
        <w:ind w:firstLine="560" w:firstLineChars="200"/>
        <w:jc w:val="left"/>
        <w:rPr>
          <w:rFonts w:ascii="华文楷体" w:hAnsi="华文楷体" w:eastAsia="华文楷体" w:cs="楷体"/>
          <w:bCs/>
          <w:kern w:val="0"/>
          <w:sz w:val="28"/>
          <w:szCs w:val="28"/>
        </w:rPr>
      </w:pPr>
    </w:p>
    <w:p>
      <w:pPr>
        <w:rPr>
          <w:rFonts w:cs="Calibri"/>
          <w:b/>
        </w:rPr>
      </w:pPr>
    </w:p>
    <w:p>
      <w:pPr>
        <w:rPr>
          <w:rFonts w:cs="Calibri"/>
          <w:b/>
        </w:rPr>
      </w:pPr>
    </w:p>
    <w:p>
      <w:pPr>
        <w:rPr>
          <w:rFonts w:cs="Calibri"/>
          <w:b/>
        </w:rPr>
      </w:pPr>
    </w:p>
    <w:p>
      <w:pPr>
        <w:rPr>
          <w:rFonts w:cs="Calibri"/>
          <w:b/>
        </w:rPr>
      </w:pPr>
      <w:r>
        <w:rPr>
          <w:rFonts w:hint="eastAsia" w:cs="Calibri"/>
          <w:b/>
        </w:rPr>
        <w:t>参考文献：</w:t>
      </w:r>
    </w:p>
    <w:p>
      <w:pPr>
        <w:pStyle w:val="10"/>
        <w:ind w:firstLine="0" w:firstLineChars="0"/>
        <w:rPr>
          <w:rFonts w:ascii="宋体" w:hAnsi="宋体" w:cs="宋体"/>
          <w:szCs w:val="21"/>
        </w:rPr>
      </w:pPr>
      <w:r>
        <w:rPr>
          <w:rFonts w:hint="eastAsia" w:ascii="Arial" w:hAnsi="Arial" w:cs="Arial"/>
          <w:szCs w:val="21"/>
          <w:shd w:val="clear" w:color="auto" w:fill="FFFFFF"/>
        </w:rPr>
        <w:t>[1]</w:t>
      </w:r>
      <w:r>
        <w:fldChar w:fldCharType="begin"/>
      </w:r>
      <w:r>
        <w:instrText xml:space="preserve"> HYPERLINK "http://epub.cnki.net/kns/popup/knetsearchNew.aspx?sdb=CJFQ&amp;sfield=%e4%bd%9c%e8%80%85&amp;skey=%e6%9d%8e%e5%bf%97%e4%b9%89&amp;scode=06528415%3b06535562%3b06530225%3b06532435%3b" \t "knet" </w:instrText>
      </w:r>
      <w:r>
        <w:fldChar w:fldCharType="separate"/>
      </w:r>
      <w:r>
        <w:rPr>
          <w:rFonts w:ascii="Arial" w:hAnsi="Arial" w:cs="Arial"/>
          <w:szCs w:val="21"/>
          <w:shd w:val="clear" w:color="auto" w:fill="FFFFFF"/>
        </w:rPr>
        <w:t>李志义</w:t>
      </w:r>
      <w:r>
        <w:rPr>
          <w:rFonts w:ascii="Arial" w:hAnsi="Arial" w:cs="Arial"/>
          <w:szCs w:val="21"/>
          <w:shd w:val="clear" w:color="auto" w:fill="FFFFFF"/>
        </w:rPr>
        <w:fldChar w:fldCharType="end"/>
      </w:r>
      <w:r>
        <w:rPr>
          <w:rFonts w:hint="eastAsia" w:ascii="Arial" w:hAnsi="Arial" w:cs="Arial"/>
          <w:szCs w:val="21"/>
          <w:shd w:val="clear" w:color="auto" w:fill="FFFFFF"/>
        </w:rPr>
        <w:t>等</w:t>
      </w:r>
      <w:r>
        <w:rPr>
          <w:rFonts w:hint="eastAsia" w:ascii="Arial" w:hAnsi="Arial" w:cs="Arial"/>
          <w:sz w:val="18"/>
          <w:szCs w:val="18"/>
        </w:rPr>
        <w:t>.</w:t>
      </w:r>
      <w:r>
        <w:rPr>
          <w:rFonts w:ascii="Arial" w:hAnsi="Arial" w:cs="Arial"/>
          <w:szCs w:val="21"/>
          <w:shd w:val="clear" w:color="auto" w:fill="FFFFFF"/>
        </w:rPr>
        <w:t>用成果导向教育理念引导高等工程教育教学改革</w:t>
      </w:r>
      <w:r>
        <w:rPr>
          <w:rFonts w:hint="eastAsia" w:ascii="Arial" w:hAnsi="Arial" w:cs="Arial"/>
          <w:szCs w:val="21"/>
          <w:shd w:val="clear" w:color="auto" w:fill="FFFFFF"/>
        </w:rPr>
        <w:t>.</w:t>
      </w:r>
      <w:r>
        <w:rPr>
          <w:rFonts w:ascii="Times New Roman" w:hAnsi="Times New Roman" w:cs="Times New Roman"/>
          <w:szCs w:val="21"/>
        </w:rPr>
        <w:t>[j]</w:t>
      </w:r>
      <w:r>
        <w:rPr>
          <w:rFonts w:hint="eastAsia" w:ascii="宋体" w:hAnsi="宋体" w:cs="宋体"/>
          <w:szCs w:val="21"/>
        </w:rPr>
        <w:t>《高等工程教育研究》2014年第2期</w:t>
      </w:r>
    </w:p>
    <w:p>
      <w:pPr>
        <w:pStyle w:val="10"/>
        <w:ind w:firstLine="0" w:firstLineChars="0"/>
        <w:rPr>
          <w:rFonts w:ascii="Arial" w:hAnsi="Arial" w:cs="Arial"/>
          <w:szCs w:val="21"/>
          <w:shd w:val="clear" w:color="auto" w:fill="FFFFFF"/>
        </w:rPr>
      </w:pPr>
      <w:r>
        <w:rPr>
          <w:rFonts w:hint="eastAsia" w:ascii="Arial" w:hAnsi="Arial" w:cs="Arial"/>
          <w:szCs w:val="21"/>
          <w:shd w:val="clear" w:color="auto" w:fill="FFFFFF"/>
        </w:rPr>
        <w:t>[2]</w:t>
      </w:r>
      <w:r>
        <w:fldChar w:fldCharType="begin"/>
      </w:r>
      <w:r>
        <w:instrText xml:space="preserve"> HYPERLINK "http://xueshu.baidu.com/s?wd=authoruri%3A%2816e0d4045d0760c1%29%20author%3A%28%E9%99%88%E4%BF%9D%E8%8D%A3%29%20%E5%A4%A9%E6%B4%A5%E8%81%8C%E4%B8%9A%E5%A4%A7%E5%AD%A6&amp;tn=SE_baiduxueshu_c1gjeupa&amp;ie=utf-8&amp;sc_f_para=sc_hilight%3Dperson&amp;sort=sc_cited" \t "_blank" </w:instrText>
      </w:r>
      <w:r>
        <w:fldChar w:fldCharType="separate"/>
      </w:r>
      <w:r>
        <w:rPr>
          <w:rFonts w:hint="eastAsia" w:ascii="Arial" w:hAnsi="Arial" w:cs="Arial"/>
          <w:szCs w:val="21"/>
          <w:shd w:val="clear" w:color="auto" w:fill="FFFFFF"/>
        </w:rPr>
        <w:t>陈保荣</w:t>
      </w:r>
      <w:r>
        <w:rPr>
          <w:rFonts w:hint="eastAsia" w:ascii="Arial" w:hAnsi="Arial" w:cs="Arial"/>
          <w:szCs w:val="21"/>
          <w:shd w:val="clear" w:color="auto" w:fill="FFFFFF"/>
        </w:rPr>
        <w:fldChar w:fldCharType="end"/>
      </w:r>
      <w:r>
        <w:rPr>
          <w:rFonts w:hint="eastAsia" w:ascii="Arial" w:hAnsi="Arial" w:cs="Arial"/>
          <w:szCs w:val="21"/>
          <w:shd w:val="clear" w:color="auto" w:fill="FFFFFF"/>
        </w:rPr>
        <w:t>.我国高等职业教育国际化发展及对策研究，</w:t>
      </w:r>
      <w:r>
        <w:rPr>
          <w:rFonts w:ascii="Times New Roman" w:hAnsi="Times New Roman" w:cs="Times New Roman"/>
          <w:szCs w:val="21"/>
        </w:rPr>
        <w:t xml:space="preserve">[j] </w:t>
      </w:r>
      <w:r>
        <w:rPr>
          <w:rFonts w:hint="eastAsia" w:ascii="Arial" w:hAnsi="Arial" w:cs="Arial"/>
          <w:szCs w:val="21"/>
          <w:shd w:val="clear" w:color="auto" w:fill="FFFFFF"/>
        </w:rPr>
        <w:t>《职教论坛》，2012，01期(01):15-18</w:t>
      </w:r>
    </w:p>
    <w:p>
      <w:pPr>
        <w:pStyle w:val="10"/>
        <w:ind w:firstLine="0" w:firstLineChars="0"/>
      </w:pPr>
      <w:r>
        <w:rPr>
          <w:rFonts w:hint="eastAsia" w:ascii="Arial" w:hAnsi="Arial" w:cs="Arial"/>
          <w:szCs w:val="21"/>
          <w:shd w:val="clear" w:color="auto" w:fill="FFFFFF"/>
        </w:rPr>
        <w:t>[3]</w:t>
      </w:r>
      <w:r>
        <w:rPr>
          <w:rFonts w:hint="eastAsia"/>
        </w:rPr>
        <w:t>何静</w:t>
      </w:r>
      <w:r>
        <w:rPr>
          <w:rFonts w:hint="eastAsia" w:ascii="Arial" w:hAnsi="Arial" w:cs="Arial"/>
          <w:szCs w:val="21"/>
          <w:shd w:val="clear" w:color="auto" w:fill="FFFFFF"/>
        </w:rPr>
        <w:t>.基于美国DQP成果导向的教学改革探索与实践，</w:t>
      </w:r>
      <w:r>
        <w:rPr>
          <w:rFonts w:ascii="Times New Roman" w:hAnsi="Times New Roman" w:cs="Times New Roman"/>
          <w:szCs w:val="21"/>
        </w:rPr>
        <w:t>[</w:t>
      </w:r>
      <w:r>
        <w:rPr>
          <w:rFonts w:hint="eastAsia" w:ascii="Times New Roman" w:hAnsi="Times New Roman" w:cs="Times New Roman"/>
          <w:szCs w:val="21"/>
        </w:rPr>
        <w:t>M</w:t>
      </w:r>
      <w:r>
        <w:rPr>
          <w:rFonts w:ascii="Times New Roman" w:hAnsi="Times New Roman" w:cs="Times New Roman"/>
          <w:szCs w:val="21"/>
        </w:rPr>
        <w:t xml:space="preserve">] </w:t>
      </w:r>
      <w:r>
        <w:fldChar w:fldCharType="begin"/>
      </w:r>
      <w:r>
        <w:instrText xml:space="preserve"> HYPERLINK "http://xueshu.baidu.com/s?wd=journaluri%3A%2882a120cec60d877b%29%20%E3%80%8A%E8%81%8C%E6%95%99%E8%AE%BA%E5%9D%9B%E3%80%8B&amp;tn=SE_baiduxueshu_c1gjeupa&amp;ie=utf-8&amp;sc_f_para=sc_hilight%3Dpublish&amp;sort=sc_cited" \t "_blank" \o "《职教论坛》" </w:instrText>
      </w:r>
      <w:r>
        <w:fldChar w:fldCharType="separate"/>
      </w:r>
      <w:r>
        <w:rPr>
          <w:rFonts w:hint="eastAsia" w:ascii="Arial" w:hAnsi="Arial" w:cs="Arial"/>
          <w:szCs w:val="21"/>
          <w:shd w:val="clear" w:color="auto" w:fill="FFFFFF"/>
        </w:rPr>
        <w:t>《中山大学出版社》</w:t>
      </w:r>
      <w:r>
        <w:rPr>
          <w:rFonts w:hint="eastAsia" w:ascii="Arial" w:hAnsi="Arial" w:cs="Arial"/>
          <w:szCs w:val="21"/>
          <w:shd w:val="clear" w:color="auto" w:fill="FFFFFF"/>
        </w:rPr>
        <w:fldChar w:fldCharType="end"/>
      </w:r>
      <w:r>
        <w:rPr>
          <w:rFonts w:hint="eastAsia" w:ascii="Arial" w:hAnsi="Arial" w:cs="Arial"/>
          <w:szCs w:val="21"/>
          <w:shd w:val="clear" w:color="auto" w:fill="FFFFFF"/>
        </w:rPr>
        <w:t>，2017，04. 3-11</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00007A87" w:usb1="80000000" w:usb2="00000008"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Style w:val="7"/>
        </w:rPr>
        <w:footnoteRef/>
      </w:r>
      <w:r>
        <w:t xml:space="preserve"> </w:t>
      </w:r>
      <w:r>
        <w:rPr>
          <w:rFonts w:hint="eastAsia"/>
        </w:rPr>
        <w:t>何静，男，1973-，江西大余人，广东农工商职业技术学院商务系教授，主要研究兴趣为商业经济、职业教育、文化心理；</w:t>
      </w:r>
    </w:p>
  </w:footnote>
  <w:footnote w:id="1">
    <w:p>
      <w:pPr>
        <w:pStyle w:val="4"/>
      </w:pPr>
      <w:r>
        <w:rPr>
          <w:rStyle w:val="7"/>
        </w:rPr>
        <w:footnoteRef/>
      </w:r>
      <w:r>
        <w:t xml:space="preserve"> </w:t>
      </w:r>
      <w:r>
        <w:rPr>
          <w:rFonts w:hint="eastAsia"/>
        </w:rPr>
        <w:t>孔繁正，男，1967-，内蒙古人，广东农工商职业技术学院商务系主任、副教授，主要研究兴趣为市场营销、职业教育；</w:t>
      </w:r>
    </w:p>
    <w:p>
      <w:pPr>
        <w:pStyle w:val="4"/>
      </w:pPr>
    </w:p>
  </w:footnote>
  <w:footnote w:id="2">
    <w:p>
      <w:pPr>
        <w:pStyle w:val="4"/>
      </w:pPr>
      <w:r>
        <w:rPr>
          <w:rStyle w:val="7"/>
        </w:rPr>
        <w:footnoteRef/>
      </w:r>
      <w:r>
        <w:t xml:space="preserve"> </w:t>
      </w:r>
      <w:r>
        <w:rPr>
          <w:rFonts w:hint="eastAsia"/>
        </w:rPr>
        <w:t>王林，男，1986-，江西吉安人，广东农工商职业技术学院商务系讲师，主要研究兴趣为商业经济、职业教育；</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D65"/>
    <w:rsid w:val="0000193C"/>
    <w:rsid w:val="00151CC4"/>
    <w:rsid w:val="00167754"/>
    <w:rsid w:val="001F5F0C"/>
    <w:rsid w:val="00253FFE"/>
    <w:rsid w:val="00313715"/>
    <w:rsid w:val="004005C8"/>
    <w:rsid w:val="004A59F2"/>
    <w:rsid w:val="004D1816"/>
    <w:rsid w:val="00585F1C"/>
    <w:rsid w:val="005B5B7C"/>
    <w:rsid w:val="00656F1F"/>
    <w:rsid w:val="00676D85"/>
    <w:rsid w:val="006F70C4"/>
    <w:rsid w:val="00714761"/>
    <w:rsid w:val="0079566A"/>
    <w:rsid w:val="007E1242"/>
    <w:rsid w:val="00905D65"/>
    <w:rsid w:val="00966D2E"/>
    <w:rsid w:val="009A7F11"/>
    <w:rsid w:val="00A14334"/>
    <w:rsid w:val="00B57FE4"/>
    <w:rsid w:val="00B86B3B"/>
    <w:rsid w:val="00C9354F"/>
    <w:rsid w:val="00D85E83"/>
    <w:rsid w:val="00DD51F9"/>
    <w:rsid w:val="00F01E3F"/>
    <w:rsid w:val="00F12B8E"/>
    <w:rsid w:val="00F61C19"/>
    <w:rsid w:val="0A4F1CE1"/>
    <w:rsid w:val="0CEA0D0A"/>
    <w:rsid w:val="11EC5C11"/>
    <w:rsid w:val="18181A9C"/>
    <w:rsid w:val="313A0F2B"/>
    <w:rsid w:val="3E8D7A73"/>
    <w:rsid w:val="417203D2"/>
    <w:rsid w:val="5D8E3A8D"/>
    <w:rsid w:val="75445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3"/>
    <w:unhideWhenUsed/>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9"/>
    <w:uiPriority w:val="0"/>
    <w:pPr>
      <w:snapToGrid w:val="0"/>
      <w:jc w:val="left"/>
    </w:pPr>
    <w:rPr>
      <w:rFonts w:ascii="Calibri" w:hAnsi="Calibri" w:cs="黑体"/>
      <w:kern w:val="0"/>
      <w:sz w:val="18"/>
      <w:szCs w:val="18"/>
    </w:rPr>
  </w:style>
  <w:style w:type="character" w:styleId="6">
    <w:name w:val="Hyperlink"/>
    <w:basedOn w:val="5"/>
    <w:unhideWhenUsed/>
    <w:qFormat/>
    <w:uiPriority w:val="99"/>
    <w:rPr>
      <w:color w:val="0000FF"/>
      <w:u w:val="single"/>
    </w:rPr>
  </w:style>
  <w:style w:type="character" w:styleId="7">
    <w:name w:val="footnote reference"/>
    <w:uiPriority w:val="0"/>
    <w:rPr>
      <w:vertAlign w:val="superscript"/>
    </w:rPr>
  </w:style>
  <w:style w:type="character" w:customStyle="1" w:styleId="9">
    <w:name w:val="脚注文本 Char"/>
    <w:basedOn w:val="5"/>
    <w:link w:val="4"/>
    <w:uiPriority w:val="0"/>
    <w:rPr>
      <w:rFonts w:ascii="Calibri" w:hAnsi="Calibri" w:eastAsia="宋体" w:cs="黑体"/>
      <w:kern w:val="0"/>
      <w:sz w:val="18"/>
      <w:szCs w:val="18"/>
    </w:rPr>
  </w:style>
  <w:style w:type="paragraph" w:customStyle="1" w:styleId="10">
    <w:name w:val="列出段落1"/>
    <w:basedOn w:val="1"/>
    <w:unhideWhenUsed/>
    <w:uiPriority w:val="99"/>
    <w:pPr>
      <w:ind w:firstLine="420" w:firstLineChars="200"/>
    </w:pPr>
    <w:rPr>
      <w:rFonts w:ascii="Calibri" w:hAnsi="Calibri" w:cs="黑体"/>
      <w:kern w:val="0"/>
      <w:szCs w:val="22"/>
    </w:rPr>
  </w:style>
  <w:style w:type="character" w:customStyle="1" w:styleId="11">
    <w:name w:val="apple-converted-space"/>
    <w:basedOn w:val="5"/>
    <w:qFormat/>
    <w:uiPriority w:val="0"/>
  </w:style>
  <w:style w:type="character" w:customStyle="1" w:styleId="12">
    <w:name w:val="页眉 Char"/>
    <w:basedOn w:val="5"/>
    <w:link w:val="3"/>
    <w:uiPriority w:val="99"/>
    <w:rPr>
      <w:rFonts w:ascii="Times New Roman" w:hAnsi="Times New Roman" w:eastAsia="宋体" w:cs="Times New Roman"/>
      <w:kern w:val="2"/>
      <w:sz w:val="18"/>
      <w:szCs w:val="18"/>
    </w:rPr>
  </w:style>
  <w:style w:type="character" w:customStyle="1" w:styleId="13">
    <w:name w:val="页脚 Char"/>
    <w:basedOn w:val="5"/>
    <w:link w:val="2"/>
    <w:qFormat/>
    <w:uiPriority w:val="99"/>
    <w:rPr>
      <w:rFonts w:ascii="Times New Roman" w:hAnsi="Times New Roman" w:eastAsia="宋体" w:cs="Times New Roman"/>
      <w:kern w:val="2"/>
      <w:sz w:val="18"/>
      <w:szCs w:val="18"/>
    </w:rPr>
  </w:style>
  <w:style w:type="paragraph" w:customStyle="1" w:styleId="14">
    <w:name w:val="op_mapdots_left"/>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15">
    <w:name w:val="c-gap-right-small"/>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7F26B5-A2E5-4ECE-9546-08B506E4369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1011</Words>
  <Characters>5769</Characters>
  <Lines>48</Lines>
  <Paragraphs>13</Paragraphs>
  <ScaleCrop>false</ScaleCrop>
  <LinksUpToDate>false</LinksUpToDate>
  <CharactersWithSpaces>6767</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2016-07-25T08:30:00Z</dcterms:created>
  <dc:creator>jing he</dc:creator>
  <cp:lastModifiedBy>Administrator</cp:lastModifiedBy>
  <dcterms:modified xsi:type="dcterms:W3CDTF">2018-05-05T09:17:00Z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