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44"/>
          <w:szCs w:val="44"/>
        </w:rPr>
      </w:pPr>
      <w:r>
        <w:rPr>
          <w:rFonts w:hint="eastAsia" w:ascii="宋体" w:hAnsi="宋体"/>
          <w:sz w:val="44"/>
          <w:szCs w:val="44"/>
        </w:rPr>
        <w:t>提高中职会计专业技能教学的实践探索</w:t>
      </w:r>
    </w:p>
    <w:p>
      <w:pPr>
        <w:spacing w:line="360" w:lineRule="auto"/>
        <w:jc w:val="center"/>
        <w:rPr>
          <w:rFonts w:hint="eastAsia" w:ascii="楷体" w:hAnsi="楷体" w:eastAsia="楷体" w:cs="楷体"/>
          <w:szCs w:val="21"/>
        </w:rPr>
      </w:pPr>
    </w:p>
    <w:p>
      <w:pPr>
        <w:spacing w:line="360" w:lineRule="auto"/>
        <w:ind w:firstLine="480"/>
        <w:jc w:val="center"/>
        <w:rPr>
          <w:rFonts w:hint="eastAsia" w:ascii="宋体" w:hAnsi="宋体"/>
          <w:sz w:val="24"/>
        </w:rPr>
      </w:pPr>
      <w:bookmarkStart w:id="0" w:name="_GoBack"/>
      <w:r>
        <w:rPr>
          <w:rFonts w:hint="eastAsia" w:ascii="宋体" w:hAnsi="宋体"/>
          <w:sz w:val="24"/>
        </w:rPr>
        <w:t xml:space="preserve">周端      桐乡技师学院   </w:t>
      </w:r>
    </w:p>
    <w:bookmarkEnd w:id="0"/>
    <w:p>
      <w:pPr>
        <w:rPr>
          <w:rFonts w:hint="eastAsia" w:ascii="仿宋" w:hAnsi="仿宋" w:eastAsia="仿宋" w:cs="楷体"/>
          <w:sz w:val="30"/>
          <w:szCs w:val="30"/>
        </w:rPr>
      </w:pPr>
      <w:r>
        <w:rPr>
          <w:rFonts w:hint="eastAsia" w:ascii="仿宋" w:hAnsi="仿宋" w:eastAsia="仿宋" w:cs="黑体"/>
          <w:sz w:val="30"/>
          <w:szCs w:val="30"/>
        </w:rPr>
        <w:t>【摘要】</w:t>
      </w:r>
      <w:r>
        <w:rPr>
          <w:rFonts w:hint="eastAsia" w:ascii="仿宋" w:hAnsi="仿宋" w:eastAsia="仿宋" w:cs="楷体"/>
          <w:sz w:val="30"/>
          <w:szCs w:val="30"/>
        </w:rPr>
        <w:t>现代化职业教育的背景下，社会对会计从业人员的基本素质提出了更高的要求，会计技能教学工作面临严峻的挑战。目前，很多中职学校在会计技能教学中，仍然采用传统的教学方法，严重制约了会计专业人才的培养计划。中职学校必须认识到提高会计技能教学的重要性，从会计技能教学内容、师资水平、实训基地、技能考核方式等方面采取积极措施，提高会计技能教学实效，增强会计专业人才的专业技能和实际应用能力，为社会发展提供更加优秀的会计技能人才。</w:t>
      </w:r>
    </w:p>
    <w:p>
      <w:pPr>
        <w:rPr>
          <w:rFonts w:hint="eastAsia" w:ascii="仿宋" w:hAnsi="仿宋" w:eastAsia="仿宋" w:cs="楷体"/>
          <w:sz w:val="30"/>
          <w:szCs w:val="30"/>
        </w:rPr>
      </w:pPr>
      <w:r>
        <w:rPr>
          <w:rFonts w:hint="eastAsia" w:ascii="仿宋" w:hAnsi="仿宋" w:eastAsia="仿宋" w:cs="黑体"/>
          <w:sz w:val="30"/>
          <w:szCs w:val="30"/>
        </w:rPr>
        <w:t>【关键字】</w:t>
      </w:r>
      <w:r>
        <w:rPr>
          <w:rFonts w:hint="eastAsia" w:ascii="仿宋" w:hAnsi="仿宋" w:eastAsia="仿宋" w:cs="楷体"/>
          <w:sz w:val="30"/>
          <w:szCs w:val="30"/>
        </w:rPr>
        <w:t>中职；会计专业；技能教学</w:t>
      </w:r>
    </w:p>
    <w:p>
      <w:pPr>
        <w:ind w:firstLine="480"/>
        <w:rPr>
          <w:rFonts w:hint="eastAsia" w:ascii="仿宋" w:hAnsi="仿宋" w:eastAsia="仿宋"/>
          <w:sz w:val="30"/>
          <w:szCs w:val="30"/>
        </w:rPr>
      </w:pPr>
    </w:p>
    <w:p>
      <w:pPr>
        <w:ind w:firstLine="596" w:firstLineChars="198"/>
        <w:rPr>
          <w:rFonts w:hint="eastAsia" w:ascii="仿宋" w:hAnsi="仿宋" w:eastAsia="仿宋" w:cs="黑体"/>
          <w:b/>
          <w:bCs/>
          <w:sz w:val="30"/>
          <w:szCs w:val="30"/>
        </w:rPr>
      </w:pPr>
      <w:r>
        <w:rPr>
          <w:rFonts w:hint="eastAsia" w:ascii="仿宋" w:hAnsi="仿宋" w:eastAsia="仿宋" w:cs="黑体"/>
          <w:b/>
          <w:bCs/>
          <w:sz w:val="30"/>
          <w:szCs w:val="30"/>
        </w:rPr>
        <w:t>一、中职会计专业毕业生就业情况</w:t>
      </w:r>
    </w:p>
    <w:p>
      <w:pPr>
        <w:ind w:firstLine="480"/>
        <w:rPr>
          <w:rFonts w:hint="eastAsia" w:ascii="仿宋" w:hAnsi="仿宋" w:eastAsia="仿宋"/>
          <w:sz w:val="30"/>
          <w:szCs w:val="30"/>
        </w:rPr>
      </w:pPr>
      <w:r>
        <w:rPr>
          <w:rFonts w:hint="eastAsia" w:ascii="仿宋" w:hAnsi="仿宋" w:eastAsia="仿宋"/>
          <w:sz w:val="30"/>
          <w:szCs w:val="30"/>
        </w:rPr>
        <w:t>笔者在中职学校任教会计专业十余年，担任过两届财会班的班主任，多次任教过毕业班专业课程。在统计毕业生就业情况的时候，笔者发现财会专业的毕业生就业率还是比较高的，但是对口就业率相对就低了很多，还有部分学生在毕业后的5年内频繁地换工作岗位。</w:t>
      </w:r>
    </w:p>
    <w:p>
      <w:pPr>
        <w:ind w:firstLine="480"/>
        <w:rPr>
          <w:rFonts w:hint="eastAsia" w:ascii="仿宋" w:hAnsi="仿宋" w:eastAsia="仿宋"/>
          <w:sz w:val="30"/>
          <w:szCs w:val="30"/>
        </w:rPr>
      </w:pPr>
      <w:r>
        <w:rPr>
          <w:rFonts w:hint="eastAsia" w:ascii="仿宋" w:hAnsi="仿宋" w:eastAsia="仿宋"/>
          <w:sz w:val="30"/>
          <w:szCs w:val="30"/>
        </w:rPr>
        <w:t>笔者通过电话、QQ、微信等方式与本校会计专业毕业生交流，了解到中职学校培养的学生与企业的要求还有不少差距，具体表现为学生技能不达标，实用性不够，在实际工作中接不上手，遇到问题不会解决，导致一部分毕业生转岗到专业性不强的其他岗位。坚持在会计岗位上工作的毕业生，也是通过自身强化技能训练，才在专业岗位上立足下来。</w:t>
      </w:r>
    </w:p>
    <w:p>
      <w:pPr>
        <w:ind w:firstLine="480"/>
        <w:rPr>
          <w:rFonts w:hint="eastAsia" w:ascii="仿宋" w:hAnsi="仿宋" w:eastAsia="仿宋"/>
          <w:sz w:val="30"/>
          <w:szCs w:val="30"/>
        </w:rPr>
      </w:pPr>
      <w:r>
        <w:rPr>
          <w:rFonts w:hint="eastAsia" w:ascii="仿宋" w:hAnsi="仿宋" w:eastAsia="仿宋"/>
          <w:sz w:val="30"/>
          <w:szCs w:val="30"/>
        </w:rPr>
        <w:t>中职会计毕业生就业不理想，最根本的原因是技能教学效果不好。改进中职会计技能教学，提高技能教学的效果是中职会计专业教育发展的关键，是提高学生就业质量的根本保证。</w:t>
      </w:r>
    </w:p>
    <w:p>
      <w:pPr>
        <w:ind w:firstLine="596" w:firstLineChars="198"/>
        <w:rPr>
          <w:rFonts w:hint="eastAsia" w:ascii="仿宋" w:hAnsi="仿宋" w:eastAsia="仿宋" w:cs="黑体"/>
          <w:b/>
          <w:bCs/>
          <w:sz w:val="30"/>
          <w:szCs w:val="30"/>
        </w:rPr>
      </w:pPr>
      <w:r>
        <w:rPr>
          <w:rFonts w:hint="eastAsia" w:ascii="仿宋" w:hAnsi="仿宋" w:eastAsia="仿宋" w:cs="黑体"/>
          <w:b/>
          <w:bCs/>
          <w:sz w:val="30"/>
          <w:szCs w:val="30"/>
        </w:rPr>
        <w:t>二、中职会计专业技能教学的现状分析</w:t>
      </w:r>
    </w:p>
    <w:p>
      <w:pPr>
        <w:ind w:firstLine="630" w:firstLineChars="210"/>
        <w:rPr>
          <w:rFonts w:hint="eastAsia" w:ascii="仿宋" w:hAnsi="仿宋" w:eastAsia="仿宋"/>
          <w:sz w:val="30"/>
          <w:szCs w:val="30"/>
        </w:rPr>
      </w:pPr>
      <w:r>
        <w:rPr>
          <w:rFonts w:hint="eastAsia" w:ascii="仿宋" w:hAnsi="仿宋" w:eastAsia="仿宋"/>
          <w:sz w:val="30"/>
          <w:szCs w:val="30"/>
        </w:rPr>
        <w:t>笔者通过对本校部分会计专业毕业生（目前正在从事会计相关工作的毕业生）、会计专业教师和在校学生等进行了会计技能教学调查，调查内容涉及会计技能教学课程设置及内容、教师的技能教学方式方法、技能教学场所、技能评价考核方式等方面。从调查结果来看，中职会计专业技能教学存在如下弊端：</w:t>
      </w:r>
    </w:p>
    <w:p>
      <w:pPr>
        <w:ind w:firstLine="630" w:firstLineChars="210"/>
        <w:rPr>
          <w:rFonts w:hint="eastAsia" w:ascii="仿宋" w:hAnsi="仿宋" w:eastAsia="仿宋"/>
          <w:sz w:val="30"/>
          <w:szCs w:val="30"/>
        </w:rPr>
      </w:pPr>
      <w:r>
        <w:rPr>
          <w:rFonts w:hint="eastAsia" w:ascii="仿宋" w:hAnsi="仿宋" w:eastAsia="仿宋" w:cs="楷体"/>
          <w:sz w:val="30"/>
          <w:szCs w:val="30"/>
        </w:rPr>
        <w:t>（一）会计技能教学内容陈旧、单一。</w:t>
      </w:r>
    </w:p>
    <w:p>
      <w:pPr>
        <w:ind w:firstLine="600" w:firstLineChars="200"/>
        <w:rPr>
          <w:rFonts w:hint="eastAsia" w:ascii="仿宋" w:hAnsi="仿宋" w:eastAsia="仿宋"/>
          <w:sz w:val="30"/>
          <w:szCs w:val="30"/>
        </w:rPr>
      </w:pPr>
      <w:r>
        <w:rPr>
          <w:rFonts w:hint="eastAsia" w:ascii="仿宋" w:hAnsi="仿宋" w:eastAsia="仿宋"/>
          <w:sz w:val="30"/>
          <w:szCs w:val="30"/>
        </w:rPr>
        <w:t>首先，现行的中职会计专业教材大部分是中职教师与出版社合作出版，教材与企业实践有一定的差距，教学内容比较简单，部分知识点模糊，练习题与基础知识间的联系不够紧密，时效性不强。其次，在技能教学内容方面，中职会计教师比较重视单项会计技能训练，重点放在点钞、珠算等单项基础技能训练上，没有全面模拟、真实地还原会计业务流程。</w:t>
      </w:r>
    </w:p>
    <w:p>
      <w:pPr>
        <w:ind w:firstLine="600" w:firstLineChars="200"/>
        <w:rPr>
          <w:rFonts w:hint="eastAsia" w:ascii="仿宋" w:hAnsi="仿宋" w:eastAsia="仿宋"/>
          <w:sz w:val="30"/>
          <w:szCs w:val="30"/>
        </w:rPr>
      </w:pPr>
      <w:r>
        <w:rPr>
          <w:rFonts w:hint="eastAsia" w:ascii="仿宋" w:hAnsi="仿宋" w:eastAsia="仿宋"/>
          <w:sz w:val="30"/>
          <w:szCs w:val="30"/>
        </w:rPr>
        <w:t>教材陈旧，技能教学内容单一，学生缺少提高综合水平的训练，跟不上时代的需求，不利于学生实际工作能力的提高。</w:t>
      </w:r>
    </w:p>
    <w:p>
      <w:pPr>
        <w:ind w:firstLine="600" w:firstLineChars="200"/>
        <w:rPr>
          <w:rFonts w:hint="eastAsia" w:ascii="仿宋" w:hAnsi="仿宋" w:eastAsia="仿宋" w:cs="楷体"/>
          <w:sz w:val="30"/>
          <w:szCs w:val="30"/>
        </w:rPr>
      </w:pPr>
      <w:r>
        <w:rPr>
          <w:rFonts w:hint="eastAsia" w:ascii="仿宋" w:hAnsi="仿宋" w:eastAsia="仿宋" w:cs="楷体"/>
          <w:sz w:val="30"/>
          <w:szCs w:val="30"/>
        </w:rPr>
        <w:t xml:space="preserve">（二）教师技能指导水平有限。  </w:t>
      </w:r>
    </w:p>
    <w:p>
      <w:pPr>
        <w:ind w:firstLine="600" w:firstLineChars="200"/>
        <w:rPr>
          <w:rFonts w:hint="eastAsia" w:ascii="仿宋" w:hAnsi="仿宋" w:eastAsia="仿宋"/>
          <w:sz w:val="30"/>
          <w:szCs w:val="30"/>
        </w:rPr>
      </w:pPr>
      <w:r>
        <w:rPr>
          <w:rFonts w:hint="eastAsia" w:ascii="仿宋" w:hAnsi="仿宋" w:eastAsia="仿宋"/>
          <w:sz w:val="30"/>
          <w:szCs w:val="30"/>
        </w:rPr>
        <w:t>很多会计教师是直接从大学里招聘来的，还有一部分是半路出家（从其他专业改行），虽然有渊博的会计知识，但没有企业工作经验，没有参与过企业的经济运作过程，操作能力差，他们在指导学生技能训练时捉襟见肘、力不从心。</w:t>
      </w:r>
    </w:p>
    <w:p>
      <w:pPr>
        <w:ind w:firstLine="480"/>
        <w:rPr>
          <w:rFonts w:hint="eastAsia" w:ascii="仿宋" w:hAnsi="仿宋" w:eastAsia="仿宋"/>
          <w:sz w:val="30"/>
          <w:szCs w:val="30"/>
        </w:rPr>
      </w:pPr>
      <w:r>
        <w:rPr>
          <w:rFonts w:hint="eastAsia" w:ascii="仿宋" w:hAnsi="仿宋" w:eastAsia="仿宋" w:cs="楷体"/>
          <w:sz w:val="30"/>
          <w:szCs w:val="30"/>
        </w:rPr>
        <w:t>（三）会计技能训练不到位。</w:t>
      </w:r>
    </w:p>
    <w:p>
      <w:pPr>
        <w:ind w:firstLine="600" w:firstLineChars="200"/>
        <w:rPr>
          <w:rFonts w:hint="eastAsia" w:ascii="仿宋" w:hAnsi="仿宋" w:eastAsia="仿宋"/>
          <w:sz w:val="30"/>
          <w:szCs w:val="30"/>
        </w:rPr>
      </w:pPr>
      <w:r>
        <w:rPr>
          <w:rFonts w:hint="eastAsia" w:ascii="仿宋" w:hAnsi="仿宋" w:eastAsia="仿宋"/>
          <w:sz w:val="30"/>
          <w:szCs w:val="30"/>
        </w:rPr>
        <w:t>首先，中职学校会计技能教学场所面积小，设备落后，职业氛围营造不够，仿真度不高，跟一般的教室没什么差别，难以激发学生技能学习的兴趣；其次，财务软件缺乏先进性，不能适应现代化社会发展，制约了会计技能教学水平的提升；再次，中职学校会计专业工学一体教学模式流于形式，会计技能教学主要在校内实训基地进行，技能教学没有真正落实到位。</w:t>
      </w:r>
    </w:p>
    <w:p>
      <w:pPr>
        <w:ind w:firstLine="600" w:firstLineChars="200"/>
        <w:rPr>
          <w:rFonts w:hint="eastAsia" w:ascii="仿宋" w:hAnsi="仿宋" w:eastAsia="仿宋"/>
          <w:sz w:val="30"/>
          <w:szCs w:val="30"/>
        </w:rPr>
      </w:pPr>
      <w:r>
        <w:rPr>
          <w:rFonts w:hint="eastAsia" w:ascii="仿宋" w:hAnsi="仿宋" w:eastAsia="仿宋" w:cs="楷体"/>
          <w:sz w:val="30"/>
          <w:szCs w:val="30"/>
        </w:rPr>
        <w:t>（四）会计考核评价体系不完善。</w:t>
      </w:r>
    </w:p>
    <w:p>
      <w:pPr>
        <w:ind w:firstLine="600" w:firstLineChars="200"/>
        <w:rPr>
          <w:rFonts w:hint="eastAsia" w:ascii="仿宋" w:hAnsi="仿宋" w:eastAsia="仿宋"/>
          <w:sz w:val="30"/>
          <w:szCs w:val="30"/>
        </w:rPr>
      </w:pPr>
      <w:r>
        <w:rPr>
          <w:rFonts w:hint="eastAsia" w:ascii="仿宋" w:hAnsi="仿宋" w:eastAsia="仿宋"/>
          <w:sz w:val="30"/>
          <w:szCs w:val="30"/>
        </w:rPr>
        <w:t>现行的会计考核体系单一，大多采用传统的期末考核或对相关会计凭证、会计账簿进行收集、检查，涉及不到会计工作的过程，不能完整地体现出学生的思考与操作。而且，主要的会计基础课程大多沿用传统的闭卷考试，题目以理论题和选择题为主，分析性较强的综合题比重较低，考试灵活性差。传统的卷面理论考试很难全面评价一个学生的职业技能水平。</w:t>
      </w:r>
    </w:p>
    <w:p>
      <w:pPr>
        <w:ind w:firstLine="596" w:firstLineChars="198"/>
        <w:rPr>
          <w:rFonts w:hint="eastAsia" w:ascii="仿宋" w:hAnsi="仿宋" w:eastAsia="仿宋" w:cs="黑体"/>
          <w:b/>
          <w:bCs/>
          <w:sz w:val="30"/>
          <w:szCs w:val="30"/>
        </w:rPr>
      </w:pPr>
      <w:r>
        <w:rPr>
          <w:rFonts w:hint="eastAsia" w:ascii="仿宋" w:hAnsi="仿宋" w:eastAsia="仿宋" w:cs="黑体"/>
          <w:b/>
          <w:bCs/>
          <w:sz w:val="30"/>
          <w:szCs w:val="30"/>
        </w:rPr>
        <w:t>三、提高中职会计专业学生技能水平的重要意义</w:t>
      </w:r>
    </w:p>
    <w:p>
      <w:pPr>
        <w:ind w:firstLine="588" w:firstLineChars="196"/>
        <w:rPr>
          <w:rFonts w:hint="eastAsia" w:ascii="仿宋" w:hAnsi="仿宋" w:eastAsia="仿宋" w:cs="黑体"/>
          <w:b/>
          <w:bCs/>
          <w:sz w:val="30"/>
          <w:szCs w:val="30"/>
        </w:rPr>
      </w:pPr>
      <w:r>
        <w:rPr>
          <w:rFonts w:hint="eastAsia" w:ascii="仿宋" w:hAnsi="仿宋" w:eastAsia="仿宋" w:cs="楷体"/>
          <w:sz w:val="30"/>
          <w:szCs w:val="30"/>
        </w:rPr>
        <w:t>（一）提升会计专业学生岗位就业能力的需要。</w:t>
      </w:r>
    </w:p>
    <w:p>
      <w:pPr>
        <w:ind w:firstLine="600" w:firstLineChars="200"/>
        <w:rPr>
          <w:rFonts w:hint="eastAsia" w:ascii="仿宋" w:hAnsi="仿宋" w:eastAsia="仿宋"/>
          <w:sz w:val="30"/>
          <w:szCs w:val="30"/>
        </w:rPr>
      </w:pPr>
      <w:r>
        <w:rPr>
          <w:rFonts w:hint="eastAsia" w:ascii="仿宋" w:hAnsi="仿宋" w:eastAsia="仿宋"/>
          <w:sz w:val="30"/>
          <w:szCs w:val="30"/>
        </w:rPr>
        <w:t>会计是一个技能型和实践性很强的职业，会计从业人员不仅要有扎实的财务理论，更要具备一定的会计岗位实际操作能力。为增加会计专业学生的就业机会，提升会计专业学生的就业能力，就必须进行会计技能教学的改革与创新，将理论知识与会计实践有机融合，全面、系统地教授学生会计工作所需的各项基本技能，切实提高会计专业学生的技能水平，让他们能更好地胜任会计相关岗位。</w:t>
      </w:r>
    </w:p>
    <w:p>
      <w:pPr>
        <w:ind w:firstLine="480"/>
        <w:rPr>
          <w:rFonts w:hint="eastAsia" w:ascii="仿宋" w:hAnsi="仿宋" w:eastAsia="仿宋"/>
          <w:sz w:val="30"/>
          <w:szCs w:val="30"/>
        </w:rPr>
      </w:pPr>
      <w:r>
        <w:rPr>
          <w:rFonts w:hint="eastAsia" w:ascii="仿宋" w:hAnsi="仿宋" w:eastAsia="仿宋" w:cs="楷体"/>
          <w:sz w:val="30"/>
          <w:szCs w:val="30"/>
        </w:rPr>
        <w:t>（二）学校会计专业教学发展的必然要求。</w:t>
      </w:r>
    </w:p>
    <w:p>
      <w:pPr>
        <w:ind w:firstLine="600" w:firstLineChars="200"/>
        <w:rPr>
          <w:rFonts w:hint="eastAsia" w:ascii="仿宋" w:hAnsi="仿宋" w:eastAsia="仿宋"/>
          <w:sz w:val="30"/>
          <w:szCs w:val="30"/>
        </w:rPr>
      </w:pPr>
      <w:r>
        <w:rPr>
          <w:rFonts w:hint="eastAsia" w:ascii="仿宋" w:hAnsi="仿宋" w:eastAsia="仿宋"/>
          <w:sz w:val="30"/>
          <w:szCs w:val="30"/>
        </w:rPr>
        <w:t>技能教学是中职学校培养人才过程中不可或缺的教学环节，是中职学校教学质量的重点考核内容之一。技能教学质量的高低更是用人单位挑选毕业生的一个关键点。技能教学效果直接关系到毕业生的就业，关乎到学校的发展。</w:t>
      </w:r>
    </w:p>
    <w:p>
      <w:pPr>
        <w:ind w:firstLine="600" w:firstLineChars="200"/>
        <w:rPr>
          <w:rFonts w:hint="eastAsia" w:ascii="仿宋" w:hAnsi="仿宋" w:eastAsia="仿宋"/>
          <w:sz w:val="30"/>
          <w:szCs w:val="30"/>
        </w:rPr>
      </w:pPr>
      <w:r>
        <w:rPr>
          <w:rFonts w:hint="eastAsia" w:ascii="仿宋" w:hAnsi="仿宋" w:eastAsia="仿宋"/>
          <w:sz w:val="30"/>
          <w:szCs w:val="30"/>
        </w:rPr>
        <w:t>为提高教学质量，促进会计专业的教学发展，学校必须对会计技能教学进行深入的改革和创新，提高技能教学成效，提高毕业生就业竞争力和就业品质，会计专业才能发展壮大。</w:t>
      </w:r>
    </w:p>
    <w:p>
      <w:pPr>
        <w:numPr>
          <w:ilvl w:val="0"/>
          <w:numId w:val="1"/>
        </w:numPr>
        <w:rPr>
          <w:rFonts w:hint="eastAsia" w:ascii="仿宋" w:hAnsi="仿宋" w:eastAsia="仿宋" w:cs="黑体"/>
          <w:b/>
          <w:bCs/>
          <w:sz w:val="30"/>
          <w:szCs w:val="30"/>
        </w:rPr>
      </w:pPr>
      <w:r>
        <w:rPr>
          <w:rFonts w:hint="eastAsia" w:ascii="仿宋" w:hAnsi="仿宋" w:eastAsia="仿宋" w:cs="黑体"/>
          <w:b/>
          <w:bCs/>
          <w:sz w:val="30"/>
          <w:szCs w:val="30"/>
        </w:rPr>
        <w:t>提高中职会计专业技能教学的实践探索</w:t>
      </w:r>
    </w:p>
    <w:p>
      <w:pPr>
        <w:ind w:firstLine="588" w:firstLineChars="196"/>
        <w:rPr>
          <w:rFonts w:hint="eastAsia" w:ascii="仿宋" w:hAnsi="仿宋" w:eastAsia="仿宋" w:cs="黑体"/>
          <w:b/>
          <w:bCs/>
          <w:sz w:val="30"/>
          <w:szCs w:val="30"/>
        </w:rPr>
      </w:pPr>
      <w:r>
        <w:rPr>
          <w:rFonts w:hint="eastAsia" w:ascii="仿宋" w:hAnsi="仿宋" w:eastAsia="仿宋" w:cs="楷体"/>
          <w:sz w:val="30"/>
          <w:szCs w:val="30"/>
        </w:rPr>
        <w:t>（一）编写技能教材，丰富和完善会计专业技能课程教学内容。</w:t>
      </w:r>
    </w:p>
    <w:p>
      <w:pPr>
        <w:ind w:firstLine="600" w:firstLineChars="200"/>
        <w:rPr>
          <w:rFonts w:hint="eastAsia" w:ascii="仿宋" w:hAnsi="仿宋" w:eastAsia="仿宋"/>
          <w:sz w:val="30"/>
          <w:szCs w:val="30"/>
        </w:rPr>
      </w:pPr>
      <w:r>
        <w:rPr>
          <w:rFonts w:hint="eastAsia" w:ascii="仿宋" w:hAnsi="仿宋" w:eastAsia="仿宋"/>
          <w:sz w:val="30"/>
          <w:szCs w:val="30"/>
        </w:rPr>
        <w:t>会计技能教学教师结合实际的技能教学经验，邀请企业财务岗位能手共同编写校本教材，力求资料真实，贴合企业财务实践操作，让学生更近距离地接触会计岗位操作实际情况。</w:t>
      </w:r>
    </w:p>
    <w:p>
      <w:pPr>
        <w:ind w:firstLine="600" w:firstLineChars="200"/>
        <w:rPr>
          <w:rFonts w:hint="eastAsia" w:ascii="仿宋" w:hAnsi="仿宋" w:eastAsia="仿宋"/>
          <w:sz w:val="30"/>
          <w:szCs w:val="30"/>
        </w:rPr>
      </w:pPr>
      <w:r>
        <w:rPr>
          <w:rFonts w:hint="eastAsia" w:ascii="仿宋" w:hAnsi="仿宋" w:eastAsia="仿宋"/>
          <w:sz w:val="30"/>
          <w:szCs w:val="30"/>
        </w:rPr>
        <w:t>在编写会计技能训练教材过程中，要注重对具体职业能力的训练，针对具体的岗位能力需求，按照“由易到难、由浅入深”的原则，设置相关技能训练课程模块，包括基本技能模块、职业能力模块、岗位应用模块。这三大模块由浅入深地将会计行业诸多岗位所需具备的能力穿插其中，有的放矢地进行相关训练，从最基本的会计手工实训到会计电算化相关能力再到岗位综合应用能力等等方面都一一涉及。</w:t>
      </w:r>
    </w:p>
    <w:p>
      <w:pPr>
        <w:spacing w:line="400" w:lineRule="exact"/>
        <w:rPr>
          <w:rFonts w:hint="eastAsia" w:ascii="宋体" w:hAnsi="宋体"/>
          <w:szCs w:val="21"/>
        </w:rPr>
      </w:pPr>
    </w:p>
    <w:p>
      <w:pPr>
        <w:spacing w:line="400" w:lineRule="exact"/>
        <w:rPr>
          <w:rFonts w:hint="eastAsia" w:ascii="仿宋" w:hAnsi="仿宋" w:eastAsia="仿宋"/>
          <w:sz w:val="30"/>
          <w:szCs w:val="30"/>
        </w:rPr>
      </w:pPr>
      <w:r>
        <w:rPr>
          <w:rFonts w:hint="eastAsia" w:ascii="仿宋" w:hAnsi="仿宋" w:eastAsia="仿宋"/>
          <w:sz w:val="30"/>
          <w:szCs w:val="30"/>
        </w:rPr>
        <w:t>附表1：会计专业技能课程模块设置</w:t>
      </w:r>
    </w:p>
    <w:tbl>
      <w:tblPr>
        <w:tblStyle w:val="5"/>
        <w:tblpPr w:leftFromText="180" w:rightFromText="180" w:vertAnchor="text" w:tblpX="3242" w:tblpY="272"/>
        <w:tblOverlap w:val="never"/>
        <w:tblW w:w="2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326" w:type="dxa"/>
            <w:vAlign w:val="top"/>
          </w:tcPr>
          <w:p>
            <w:pPr>
              <w:spacing w:line="400" w:lineRule="exact"/>
              <w:jc w:val="center"/>
              <w:rPr>
                <w:rFonts w:hint="eastAsia" w:ascii="仿宋" w:hAnsi="仿宋" w:eastAsia="仿宋"/>
                <w:sz w:val="24"/>
              </w:rPr>
            </w:pPr>
            <w:r>
              <w:rPr>
                <w:rFonts w:hint="eastAsia" w:ascii="仿宋" w:hAnsi="仿宋" w:eastAsia="仿宋"/>
                <w:sz w:val="24"/>
              </w:rPr>
              <w:t>会计基础实训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326" w:type="dxa"/>
            <w:vAlign w:val="top"/>
          </w:tcPr>
          <w:p>
            <w:pPr>
              <w:spacing w:line="400" w:lineRule="exact"/>
              <w:jc w:val="center"/>
              <w:rPr>
                <w:rFonts w:hint="eastAsia" w:ascii="仿宋" w:hAnsi="仿宋" w:eastAsia="仿宋"/>
                <w:sz w:val="24"/>
              </w:rPr>
            </w:pPr>
            <w:r>
              <w:rPr>
                <w:rFonts w:hint="eastAsia" w:ascii="仿宋" w:hAnsi="仿宋" w:eastAsia="仿宋"/>
                <w:sz w:val="24"/>
              </w:rPr>
              <w:t>出纳能力实训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326" w:type="dxa"/>
            <w:vAlign w:val="top"/>
          </w:tcPr>
          <w:p>
            <w:pPr>
              <w:spacing w:line="400" w:lineRule="exact"/>
              <w:jc w:val="center"/>
              <w:rPr>
                <w:rFonts w:hint="eastAsia" w:ascii="仿宋" w:hAnsi="仿宋" w:eastAsia="仿宋"/>
                <w:sz w:val="24"/>
              </w:rPr>
            </w:pPr>
            <w:r>
              <w:rPr>
                <w:rFonts w:hint="eastAsia" w:ascii="仿宋" w:hAnsi="仿宋" w:eastAsia="仿宋"/>
                <w:sz w:val="24"/>
              </w:rPr>
              <w:t>会计手工模拟实训</w:t>
            </w:r>
          </w:p>
        </w:tc>
      </w:tr>
    </w:tbl>
    <w:p>
      <w:pPr>
        <w:spacing w:line="400" w:lineRule="exact"/>
        <w:ind w:firstLine="480"/>
        <w:jc w:val="center"/>
        <w:rPr>
          <w:rFonts w:hint="eastAsia" w:ascii="宋体" w:hAnsi="宋体"/>
          <w:szCs w:val="21"/>
        </w:rPr>
      </w:pPr>
    </w:p>
    <w:p>
      <w:pPr>
        <w:spacing w:line="400" w:lineRule="exact"/>
        <w:ind w:firstLine="480"/>
        <w:jc w:val="center"/>
        <w:rPr>
          <w:rFonts w:hint="eastAsia" w:ascii="宋体" w:hAnsi="宋体"/>
          <w:szCs w:val="21"/>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3551555</wp:posOffset>
                </wp:positionH>
                <wp:positionV relativeFrom="paragraph">
                  <wp:posOffset>51435</wp:posOffset>
                </wp:positionV>
                <wp:extent cx="466090" cy="3076575"/>
                <wp:effectExtent l="0" t="4445" r="10160" b="5080"/>
                <wp:wrapNone/>
                <wp:docPr id="3" name="自选图形 5"/>
                <wp:cNvGraphicFramePr/>
                <a:graphic xmlns:a="http://schemas.openxmlformats.org/drawingml/2006/main">
                  <a:graphicData uri="http://schemas.microsoft.com/office/word/2010/wordprocessingShape">
                    <wps:wsp>
                      <wps:cNvSpPr/>
                      <wps:spPr>
                        <a:xfrm>
                          <a:off x="0" y="0"/>
                          <a:ext cx="466090" cy="3076575"/>
                        </a:xfrm>
                        <a:prstGeom prst="rightBrace">
                          <a:avLst>
                            <a:gd name="adj1" fmla="val 55006"/>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5" o:spid="_x0000_s1026" o:spt="88" type="#_x0000_t88" style="position:absolute;left:0pt;margin-left:279.65pt;margin-top:4.05pt;height:242.25pt;width:36.7pt;z-index:251660288;mso-width-relative:page;mso-height-relative:page;" filled="f" stroked="t" coordsize="21600,21600" o:gfxdata="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QdI12gAAAAkBAAAPAAAAAAAA&#10;AAEAIAAAACIAAABkcnMvZG93bnJldi54bWxQSwECFAAUAAAACACHTuJAOSuavRACAAAIBAAADgAA&#10;AAAAAAABACAAAAApAQAAZHJzL2Uyb0RvYy54bWxQSwUGAAAAAAYABgBZAQAAqwUAAAAA&#10;" adj="1799,10800">
                <v:fill on="f" focussize="0,0"/>
                <v:stroke color="#000000" joinstyle="round"/>
                <v:imagedata o:title=""/>
                <o:lock v:ext="edit" aspectratio="f"/>
              </v:shape>
            </w:pict>
          </mc:Fallback>
        </mc:AlternateContent>
      </w:r>
    </w:p>
    <w:tbl>
      <w:tblPr>
        <w:tblStyle w:val="5"/>
        <w:tblpPr w:leftFromText="180" w:rightFromText="180" w:vertAnchor="text" w:horzAnchor="page" w:tblpX="2512" w:tblpY="75"/>
        <w:tblOverlap w:val="never"/>
        <w:tblW w:w="1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55" w:type="dxa"/>
            <w:vAlign w:val="top"/>
          </w:tcPr>
          <w:p>
            <w:pPr>
              <w:spacing w:line="400" w:lineRule="exact"/>
              <w:jc w:val="center"/>
              <w:rPr>
                <w:rFonts w:hint="eastAsia" w:ascii="仿宋" w:hAnsi="仿宋" w:eastAsia="仿宋"/>
                <w:sz w:val="24"/>
              </w:rPr>
            </w:pPr>
            <w:r>
              <w:rPr>
                <w:rFonts w:hint="eastAsia" w:ascii="仿宋" w:hAnsi="仿宋" w:eastAsia="仿宋"/>
                <w:sz w:val="24"/>
              </w:rPr>
              <w:t>基本技能</w:t>
            </w:r>
          </w:p>
        </w:tc>
      </w:tr>
    </w:tbl>
    <w:p>
      <w:pPr>
        <w:spacing w:line="400" w:lineRule="exact"/>
        <w:ind w:firstLine="480"/>
        <w:jc w:val="center"/>
        <w:rPr>
          <w:rFonts w:hint="eastAsia" w:ascii="仿宋" w:hAnsi="仿宋" w:eastAsia="仿宋"/>
          <w:sz w:val="24"/>
        </w:rPr>
      </w:pPr>
      <w:r>
        <w:rPr>
          <w:rFonts w:ascii="仿宋" w:hAnsi="仿宋" w:eastAsia="仿宋"/>
          <w:sz w:val="24"/>
        </w:rPr>
        <mc:AlternateContent>
          <mc:Choice Requires="wps">
            <w:drawing>
              <wp:anchor distT="0" distB="0" distL="114300" distR="114300" simplePos="0" relativeHeight="251658240" behindDoc="0" locked="0" layoutInCell="1" allowOverlap="1">
                <wp:simplePos x="0" y="0"/>
                <wp:positionH relativeFrom="column">
                  <wp:posOffset>1379855</wp:posOffset>
                </wp:positionH>
                <wp:positionV relativeFrom="paragraph">
                  <wp:posOffset>119380</wp:posOffset>
                </wp:positionV>
                <wp:extent cx="485775" cy="180975"/>
                <wp:effectExtent l="4445" t="9525" r="24130" b="19050"/>
                <wp:wrapNone/>
                <wp:docPr id="1" name="自选图形 2"/>
                <wp:cNvGraphicFramePr/>
                <a:graphic xmlns:a="http://schemas.openxmlformats.org/drawingml/2006/main">
                  <a:graphicData uri="http://schemas.microsoft.com/office/word/2010/wordprocessingShape">
                    <wps:wsp>
                      <wps:cNvSpPr/>
                      <wps:spPr>
                        <a:xfrm>
                          <a:off x="0" y="0"/>
                          <a:ext cx="485775" cy="180975"/>
                        </a:xfrm>
                        <a:prstGeom prst="rightArrow">
                          <a:avLst>
                            <a:gd name="adj1" fmla="val 50000"/>
                            <a:gd name="adj2" fmla="val 67105"/>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2" o:spid="_x0000_s1026" o:spt="13" type="#_x0000_t13" style="position:absolute;left:0pt;margin-left:108.65pt;margin-top:9.4pt;height:14.25pt;width:38.25pt;z-index:251658240;mso-width-relative:page;mso-height-relative:page;" fillcolor="#FFFFFF" filled="t" stroked="t" coordsize="21600,21600" o:gfxdata="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36eYNoAAAAJ&#10;AQAADwAAAAAAAAABACAAAAAiAAAAZHJzL2Rvd25yZXYueG1sUEsBAhQAFAAAAAgAh07iQKlCCYga&#10;AgAAOgQAAA4AAAAAAAAAAQAgAAAAKQEAAGRycy9lMm9Eb2MueG1sUEsFBgAAAAAGAAYAWQEAALUF&#10;AAAAAA==&#10;" adj="16201,5400">
                <v:fill on="t" focussize="0,0"/>
                <v:stroke color="#000000" joinstyle="miter"/>
                <v:imagedata o:title=""/>
                <o:lock v:ext="edit" aspectratio="f"/>
              </v:shape>
            </w:pict>
          </mc:Fallback>
        </mc:AlternateContent>
      </w:r>
    </w:p>
    <w:p>
      <w:pPr>
        <w:spacing w:line="400" w:lineRule="exact"/>
        <w:ind w:firstLine="480"/>
        <w:jc w:val="center"/>
        <w:rPr>
          <w:rFonts w:hint="eastAsia" w:ascii="仿宋" w:hAnsi="仿宋" w:eastAsia="仿宋"/>
          <w:sz w:val="24"/>
        </w:rPr>
      </w:pPr>
    </w:p>
    <w:tbl>
      <w:tblPr>
        <w:tblStyle w:val="5"/>
        <w:tblpPr w:leftFromText="180" w:rightFromText="180" w:vertAnchor="text" w:horzAnchor="page" w:tblpX="5012" w:tblpY="325"/>
        <w:tblOverlap w:val="never"/>
        <w:tblW w:w="2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6" w:type="dxa"/>
            <w:vAlign w:val="top"/>
          </w:tcPr>
          <w:p>
            <w:pPr>
              <w:spacing w:line="400" w:lineRule="exact"/>
              <w:jc w:val="center"/>
              <w:rPr>
                <w:rFonts w:hint="eastAsia" w:ascii="仿宋" w:hAnsi="仿宋" w:eastAsia="仿宋"/>
                <w:sz w:val="24"/>
              </w:rPr>
            </w:pPr>
            <w:r>
              <w:rPr>
                <w:rFonts w:hint="eastAsia" w:ascii="仿宋" w:hAnsi="仿宋" w:eastAsia="仿宋"/>
                <w:sz w:val="24"/>
              </w:rPr>
              <w:t>成本会计实训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6" w:type="dxa"/>
            <w:vAlign w:val="top"/>
          </w:tcPr>
          <w:p>
            <w:pPr>
              <w:spacing w:line="400" w:lineRule="exact"/>
              <w:jc w:val="center"/>
              <w:rPr>
                <w:rFonts w:hint="eastAsia" w:ascii="仿宋" w:hAnsi="仿宋" w:eastAsia="仿宋"/>
                <w:sz w:val="24"/>
              </w:rPr>
            </w:pPr>
            <w:r>
              <w:rPr>
                <w:rFonts w:hint="eastAsia" w:ascii="仿宋" w:hAnsi="仿宋" w:eastAsia="仿宋"/>
                <w:sz w:val="24"/>
              </w:rPr>
              <w:t>税务会计实训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6" w:type="dxa"/>
            <w:vAlign w:val="top"/>
          </w:tcPr>
          <w:p>
            <w:pPr>
              <w:spacing w:line="400" w:lineRule="exact"/>
              <w:jc w:val="center"/>
              <w:rPr>
                <w:rFonts w:hint="eastAsia" w:ascii="仿宋" w:hAnsi="仿宋" w:eastAsia="仿宋"/>
                <w:sz w:val="24"/>
              </w:rPr>
            </w:pPr>
            <w:r>
              <w:rPr>
                <w:rFonts w:hint="eastAsia" w:ascii="仿宋" w:hAnsi="仿宋" w:eastAsia="仿宋"/>
                <w:sz w:val="24"/>
              </w:rPr>
              <w:t>会计电算化实训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6" w:type="dxa"/>
            <w:vAlign w:val="top"/>
          </w:tcPr>
          <w:p>
            <w:pPr>
              <w:spacing w:line="400" w:lineRule="exact"/>
              <w:jc w:val="center"/>
              <w:rPr>
                <w:rFonts w:hint="eastAsia" w:ascii="仿宋" w:hAnsi="仿宋" w:eastAsia="仿宋"/>
                <w:sz w:val="24"/>
              </w:rPr>
            </w:pPr>
            <w:r>
              <w:rPr>
                <w:rFonts w:hint="eastAsia" w:ascii="仿宋" w:hAnsi="仿宋" w:eastAsia="仿宋"/>
                <w:sz w:val="24"/>
              </w:rPr>
              <w:t>管理会计实训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6" w:type="dxa"/>
            <w:vAlign w:val="top"/>
          </w:tcPr>
          <w:p>
            <w:pPr>
              <w:spacing w:line="400" w:lineRule="exact"/>
              <w:jc w:val="center"/>
              <w:rPr>
                <w:rFonts w:hint="eastAsia" w:ascii="仿宋" w:hAnsi="仿宋" w:eastAsia="仿宋"/>
                <w:sz w:val="24"/>
              </w:rPr>
            </w:pPr>
            <w:r>
              <w:rPr>
                <w:rFonts w:hint="eastAsia" w:ascii="仿宋" w:hAnsi="仿宋" w:eastAsia="仿宋"/>
                <w:sz w:val="24"/>
              </w:rPr>
              <w:t>小企业会计实务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56" w:type="dxa"/>
            <w:vAlign w:val="top"/>
          </w:tcPr>
          <w:p>
            <w:pPr>
              <w:spacing w:line="400" w:lineRule="exact"/>
              <w:jc w:val="center"/>
              <w:rPr>
                <w:rFonts w:hint="eastAsia" w:ascii="仿宋" w:hAnsi="仿宋" w:eastAsia="仿宋"/>
                <w:sz w:val="24"/>
              </w:rPr>
            </w:pPr>
            <w:r>
              <w:rPr>
                <w:rFonts w:hint="eastAsia" w:ascii="仿宋" w:hAnsi="仿宋" w:eastAsia="仿宋"/>
                <w:sz w:val="24"/>
              </w:rPr>
              <w:t>会计综合模拟实训</w:t>
            </w:r>
          </w:p>
        </w:tc>
      </w:tr>
    </w:tbl>
    <w:p>
      <w:pPr>
        <w:spacing w:line="400" w:lineRule="exact"/>
        <w:ind w:firstLine="480"/>
        <w:rPr>
          <w:rFonts w:hint="eastAsia" w:ascii="仿宋" w:hAnsi="仿宋" w:eastAsia="仿宋"/>
          <w:sz w:val="24"/>
        </w:rPr>
      </w:pPr>
    </w:p>
    <w:p>
      <w:pPr>
        <w:spacing w:line="400" w:lineRule="exact"/>
        <w:ind w:firstLine="480"/>
        <w:rPr>
          <w:rFonts w:hint="eastAsia" w:ascii="仿宋" w:hAnsi="仿宋" w:eastAsia="仿宋"/>
          <w:sz w:val="24"/>
        </w:rPr>
      </w:pPr>
    </w:p>
    <w:tbl>
      <w:tblPr>
        <w:tblStyle w:val="5"/>
        <w:tblpPr w:leftFromText="180" w:rightFromText="180" w:vertAnchor="text" w:horzAnchor="page" w:tblpX="8338" w:tblpY="8"/>
        <w:tblOverlap w:val="never"/>
        <w:tblW w:w="1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30" w:type="dxa"/>
            <w:vAlign w:val="top"/>
          </w:tcPr>
          <w:p>
            <w:pPr>
              <w:spacing w:line="400" w:lineRule="exact"/>
              <w:jc w:val="center"/>
              <w:rPr>
                <w:rFonts w:hint="eastAsia" w:ascii="仿宋" w:hAnsi="仿宋" w:eastAsia="仿宋"/>
                <w:sz w:val="24"/>
              </w:rPr>
            </w:pPr>
            <w:r>
              <w:rPr>
                <w:rFonts w:hint="eastAsia" w:ascii="仿宋" w:hAnsi="仿宋" w:eastAsia="仿宋"/>
                <w:sz w:val="24"/>
              </w:rPr>
              <w:t>校内实训</w:t>
            </w:r>
          </w:p>
        </w:tc>
      </w:tr>
    </w:tbl>
    <w:p>
      <w:pPr>
        <w:spacing w:line="400" w:lineRule="exact"/>
        <w:ind w:firstLine="480"/>
        <w:rPr>
          <w:rFonts w:hint="eastAsia" w:ascii="仿宋" w:hAnsi="仿宋" w:eastAsia="仿宋"/>
          <w:sz w:val="24"/>
        </w:rPr>
      </w:pPr>
    </w:p>
    <w:p>
      <w:pPr>
        <w:spacing w:line="400" w:lineRule="exact"/>
        <w:ind w:firstLine="480"/>
        <w:rPr>
          <w:rFonts w:hint="eastAsia" w:ascii="仿宋" w:hAnsi="仿宋" w:eastAsia="仿宋"/>
          <w:sz w:val="24"/>
        </w:rPr>
      </w:pPr>
    </w:p>
    <w:tbl>
      <w:tblPr>
        <w:tblStyle w:val="5"/>
        <w:tblpPr w:leftFromText="180" w:rightFromText="180" w:vertAnchor="text" w:horzAnchor="page" w:tblpX="2527" w:tblpY="177"/>
        <w:tblOverlap w:val="never"/>
        <w:tblW w:w="1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60" w:type="dxa"/>
            <w:vAlign w:val="top"/>
          </w:tcPr>
          <w:p>
            <w:pPr>
              <w:spacing w:line="400" w:lineRule="exact"/>
              <w:jc w:val="center"/>
              <w:rPr>
                <w:rFonts w:hint="eastAsia" w:ascii="仿宋" w:hAnsi="仿宋" w:eastAsia="仿宋"/>
                <w:sz w:val="24"/>
              </w:rPr>
            </w:pPr>
            <w:r>
              <w:rPr>
                <w:rFonts w:hint="eastAsia" w:ascii="仿宋" w:hAnsi="仿宋" w:eastAsia="仿宋"/>
                <w:sz w:val="24"/>
              </w:rPr>
              <w:t>职业能力</w:t>
            </w:r>
          </w:p>
        </w:tc>
      </w:tr>
    </w:tbl>
    <w:p>
      <w:pPr>
        <w:spacing w:line="400" w:lineRule="exact"/>
        <w:ind w:firstLine="480"/>
        <w:jc w:val="center"/>
        <w:rPr>
          <w:rFonts w:hint="eastAsia" w:ascii="仿宋" w:hAnsi="仿宋" w:eastAsia="仿宋"/>
          <w:sz w:val="24"/>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1360805</wp:posOffset>
                </wp:positionH>
                <wp:positionV relativeFrom="paragraph">
                  <wp:posOffset>186055</wp:posOffset>
                </wp:positionV>
                <wp:extent cx="542925" cy="190500"/>
                <wp:effectExtent l="5080" t="8890" r="23495" b="10160"/>
                <wp:wrapNone/>
                <wp:docPr id="2" name="自选图形 3"/>
                <wp:cNvGraphicFramePr/>
                <a:graphic xmlns:a="http://schemas.openxmlformats.org/drawingml/2006/main">
                  <a:graphicData uri="http://schemas.microsoft.com/office/word/2010/wordprocessingShape">
                    <wps:wsp>
                      <wps:cNvSpPr/>
                      <wps:spPr>
                        <a:xfrm>
                          <a:off x="0" y="0"/>
                          <a:ext cx="542925" cy="190500"/>
                        </a:xfrm>
                        <a:prstGeom prst="rightArrow">
                          <a:avLst>
                            <a:gd name="adj1" fmla="val 50000"/>
                            <a:gd name="adj2" fmla="val 71250"/>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 o:spid="_x0000_s1026" o:spt="13" type="#_x0000_t13" style="position:absolute;left:0pt;margin-left:107.15pt;margin-top:14.65pt;height:15pt;width:42.75pt;z-index:251659264;mso-width-relative:page;mso-height-relative:page;" fillcolor="#FFFFFF" filled="t" stroked="t" coordsize="21600,21600" o:gfxdata="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Kme/VAAAACQEAAA8A&#10;AAAAAAAAAQAgAAAAIgAAAGRycy9kb3ducmV2LnhtbFBLAQIUABQAAAAIAIdO4kAu/ApYGgIAADoE&#10;AAAOAAAAAAAAAAEAIAAAACQBAABkcnMvZTJvRG9jLnhtbFBLBQYAAAAABgAGAFkBAACwBQAAAAA=&#10;" adj="16200,5400">
                <v:fill on="t" focussize="0,0"/>
                <v:stroke color="#000000" joinstyle="miter"/>
                <v:imagedata o:title=""/>
                <o:lock v:ext="edit" aspectratio="f"/>
              </v:shape>
            </w:pict>
          </mc:Fallback>
        </mc:AlternateContent>
      </w:r>
    </w:p>
    <w:p>
      <w:pPr>
        <w:spacing w:line="400" w:lineRule="exact"/>
        <w:ind w:firstLine="480"/>
        <w:jc w:val="center"/>
        <w:rPr>
          <w:rFonts w:hint="eastAsia" w:ascii="仿宋" w:hAnsi="仿宋" w:eastAsia="仿宋"/>
          <w:sz w:val="24"/>
        </w:rPr>
      </w:pPr>
    </w:p>
    <w:p>
      <w:pPr>
        <w:spacing w:line="400" w:lineRule="exact"/>
        <w:ind w:firstLine="480"/>
        <w:jc w:val="center"/>
        <w:rPr>
          <w:rFonts w:hint="eastAsia" w:ascii="仿宋" w:hAnsi="仿宋" w:eastAsia="仿宋"/>
          <w:sz w:val="24"/>
        </w:rPr>
      </w:pPr>
    </w:p>
    <w:p>
      <w:pPr>
        <w:spacing w:line="400" w:lineRule="exact"/>
        <w:ind w:firstLine="480"/>
        <w:jc w:val="center"/>
        <w:rPr>
          <w:rFonts w:hint="eastAsia" w:ascii="仿宋" w:hAnsi="仿宋" w:eastAsia="仿宋"/>
          <w:sz w:val="24"/>
        </w:rPr>
      </w:pPr>
    </w:p>
    <w:p>
      <w:pPr>
        <w:spacing w:line="400" w:lineRule="exact"/>
        <w:ind w:firstLine="480"/>
        <w:jc w:val="center"/>
        <w:rPr>
          <w:rFonts w:hint="eastAsia" w:ascii="仿宋" w:hAnsi="仿宋" w:eastAsia="仿宋"/>
          <w:sz w:val="24"/>
        </w:rPr>
      </w:pPr>
    </w:p>
    <w:tbl>
      <w:tblPr>
        <w:tblStyle w:val="5"/>
        <w:tblpPr w:leftFromText="180" w:rightFromText="180" w:vertAnchor="text" w:horzAnchor="page" w:tblpX="2233" w:tblpY="247"/>
        <w:tblOverlap w:val="never"/>
        <w:tblW w:w="1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68" w:type="dxa"/>
            <w:vAlign w:val="top"/>
          </w:tcPr>
          <w:p>
            <w:pPr>
              <w:spacing w:line="400" w:lineRule="exact"/>
              <w:jc w:val="center"/>
              <w:rPr>
                <w:rFonts w:hint="eastAsia" w:ascii="仿宋" w:hAnsi="仿宋" w:eastAsia="仿宋"/>
                <w:sz w:val="24"/>
              </w:rPr>
            </w:pPr>
            <w:r>
              <w:rPr>
                <w:rFonts w:hint="eastAsia" w:ascii="仿宋" w:hAnsi="仿宋" w:eastAsia="仿宋"/>
                <w:sz w:val="24"/>
              </w:rPr>
              <w:t>岗位应用能力</w:t>
            </w:r>
          </w:p>
        </w:tc>
      </w:tr>
    </w:tbl>
    <w:tbl>
      <w:tblPr>
        <w:tblStyle w:val="5"/>
        <w:tblpPr w:leftFromText="180" w:rightFromText="180" w:vertAnchor="text" w:horzAnchor="page" w:tblpX="4972" w:tblpY="247"/>
        <w:tblOverlap w:val="never"/>
        <w:tblW w:w="2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20" w:type="dxa"/>
            <w:vAlign w:val="top"/>
          </w:tcPr>
          <w:p>
            <w:pPr>
              <w:spacing w:line="400" w:lineRule="exact"/>
              <w:jc w:val="center"/>
              <w:rPr>
                <w:rFonts w:hint="eastAsia" w:ascii="仿宋" w:hAnsi="仿宋" w:eastAsia="仿宋"/>
                <w:sz w:val="24"/>
              </w:rPr>
            </w:pPr>
            <w:r>
              <w:rPr>
                <w:rFonts w:hint="eastAsia" w:ascii="仿宋" w:hAnsi="仿宋" w:eastAsia="仿宋"/>
                <w:sz w:val="24"/>
              </w:rPr>
              <w:t>毕业岗位实习</w:t>
            </w:r>
          </w:p>
        </w:tc>
      </w:tr>
    </w:tbl>
    <w:tbl>
      <w:tblPr>
        <w:tblStyle w:val="5"/>
        <w:tblpPr w:leftFromText="180" w:rightFromText="180" w:vertAnchor="text" w:horzAnchor="page" w:tblpX="8173" w:tblpY="263"/>
        <w:tblOverlap w:val="never"/>
        <w:tblW w:w="1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0" w:type="dxa"/>
            <w:vAlign w:val="top"/>
          </w:tcPr>
          <w:p>
            <w:pPr>
              <w:spacing w:line="400" w:lineRule="exact"/>
              <w:jc w:val="center"/>
              <w:rPr>
                <w:rFonts w:hint="eastAsia" w:ascii="仿宋" w:hAnsi="仿宋" w:eastAsia="仿宋"/>
                <w:sz w:val="24"/>
              </w:rPr>
            </w:pPr>
            <w:r>
              <w:rPr>
                <w:rFonts w:hint="eastAsia" w:ascii="仿宋" w:hAnsi="仿宋" w:eastAsia="仿宋"/>
                <w:sz w:val="24"/>
              </w:rPr>
              <w:t>校外实训</w:t>
            </w:r>
          </w:p>
        </w:tc>
      </w:tr>
    </w:tbl>
    <w:p>
      <w:pPr>
        <w:spacing w:line="400" w:lineRule="exact"/>
        <w:ind w:firstLine="480"/>
        <w:rPr>
          <w:rFonts w:hint="eastAsia" w:ascii="宋体" w:hAnsi="宋体"/>
          <w:sz w:val="24"/>
        </w:rPr>
      </w:pPr>
      <w:r>
        <w:rPr>
          <w:rFonts w:hint="eastAsia" w:ascii="宋体" w:hAnsi="宋体"/>
          <w:sz w:val="24"/>
        </w:rPr>
        <w:t xml:space="preserve"> </w:t>
      </w:r>
    </w:p>
    <w:p>
      <w:pPr>
        <w:spacing w:line="400" w:lineRule="exact"/>
        <w:ind w:firstLine="480"/>
        <w:rPr>
          <w:rFonts w:hint="eastAsia" w:ascii="宋体" w:hAnsi="宋体"/>
          <w:szCs w:val="21"/>
        </w:rPr>
      </w:pPr>
      <w:r>
        <w:rPr>
          <w:sz w:val="24"/>
        </w:rPr>
        <mc:AlternateContent>
          <mc:Choice Requires="wps">
            <w:drawing>
              <wp:anchor distT="0" distB="0" distL="114300" distR="114300" simplePos="0" relativeHeight="251662336" behindDoc="0" locked="0" layoutInCell="1" allowOverlap="1">
                <wp:simplePos x="0" y="0"/>
                <wp:positionH relativeFrom="column">
                  <wp:posOffset>1953260</wp:posOffset>
                </wp:positionH>
                <wp:positionV relativeFrom="paragraph">
                  <wp:posOffset>635</wp:posOffset>
                </wp:positionV>
                <wp:extent cx="485775" cy="151765"/>
                <wp:effectExtent l="4445" t="8890" r="24130" b="10795"/>
                <wp:wrapNone/>
                <wp:docPr id="5" name="自选图形 7"/>
                <wp:cNvGraphicFramePr/>
                <a:graphic xmlns:a="http://schemas.openxmlformats.org/drawingml/2006/main">
                  <a:graphicData uri="http://schemas.microsoft.com/office/word/2010/wordprocessingShape">
                    <wps:wsp>
                      <wps:cNvSpPr/>
                      <wps:spPr>
                        <a:xfrm>
                          <a:off x="0" y="0"/>
                          <a:ext cx="485775" cy="151765"/>
                        </a:xfrm>
                        <a:prstGeom prst="rightArrow">
                          <a:avLst>
                            <a:gd name="adj1" fmla="val 50000"/>
                            <a:gd name="adj2" fmla="val 80020"/>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7" o:spid="_x0000_s1026" o:spt="13" type="#_x0000_t13" style="position:absolute;left:0pt;margin-left:153.8pt;margin-top:0.05pt;height:11.95pt;width:38.25pt;z-index:251662336;mso-width-relative:page;mso-height-relative:page;" fillcolor="#FFFFFF" filled="t" stroked="t" coordsize="21600,21600" o:gfxdata="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OksEjXAAAABwEA&#10;AA8AAAAAAAAAAQAgAAAAIgAAAGRycy9kb3ducmV2LnhtbFBLAQIUABQAAAAIAIdO4kCMr4n4GwIA&#10;ADoEAAAOAAAAAAAAAAEAIAAAACYBAABkcnMvZTJvRG9jLnhtbFBLBQYAAAAABgAGAFkBAACzBQAA&#10;AAA=&#10;" adj="16201,5400">
                <v:fill on="t" focussize="0,0"/>
                <v:stroke color="#000000"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0</wp:posOffset>
                </wp:positionV>
                <wp:extent cx="466725" cy="152400"/>
                <wp:effectExtent l="4445" t="8890" r="24130" b="10160"/>
                <wp:wrapNone/>
                <wp:docPr id="4" name="自选图形 4"/>
                <wp:cNvGraphicFramePr/>
                <a:graphic xmlns:a="http://schemas.openxmlformats.org/drawingml/2006/main">
                  <a:graphicData uri="http://schemas.microsoft.com/office/word/2010/wordprocessingShape">
                    <wps:wsp>
                      <wps:cNvSpPr/>
                      <wps:spPr>
                        <a:xfrm>
                          <a:off x="0" y="0"/>
                          <a:ext cx="466725" cy="152400"/>
                        </a:xfrm>
                        <a:prstGeom prst="rightArrow">
                          <a:avLst>
                            <a:gd name="adj1" fmla="val 50000"/>
                            <a:gd name="adj2" fmla="val 76562"/>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 o:spid="_x0000_s1026" o:spt="13" type="#_x0000_t13" style="position:absolute;left:0pt;margin-left:-0.2pt;margin-top:0pt;height:12pt;width:36.75pt;z-index:251661312;mso-width-relative:page;mso-height-relative:page;" fillcolor="#FFFFFF" filled="t" stroked="t" coordsize="21600,21600" o:gfxdata="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yn/x3WAAAABAEAAA8A&#10;AAAAAAAAAQAgAAAAIgAAAGRycy9kb3ducmV2LnhtbFBLAQIUABQAAAAIAIdO4kBwtgkdGQIAADoE&#10;AAAOAAAAAAAAAAEAIAAAACUBAABkcnMvZTJvRG9jLnhtbFBLBQYAAAAABgAGAFkBAACwBQAAAAA=&#10;" adj="16201,5400">
                <v:fill on="t" focussize="0,0"/>
                <v:stroke color="#000000" joinstyle="miter"/>
                <v:imagedata o:title=""/>
                <o:lock v:ext="edit" aspectratio="f"/>
              </v:shape>
            </w:pict>
          </mc:Fallback>
        </mc:AlternateContent>
      </w:r>
    </w:p>
    <w:p>
      <w:pPr>
        <w:spacing w:line="400" w:lineRule="exact"/>
        <w:ind w:firstLine="480"/>
        <w:rPr>
          <w:rFonts w:hint="eastAsia" w:ascii="宋体" w:hAnsi="宋体"/>
          <w:szCs w:val="21"/>
        </w:rPr>
      </w:pPr>
    </w:p>
    <w:p>
      <w:pPr>
        <w:ind w:firstLine="600" w:firstLineChars="200"/>
        <w:rPr>
          <w:rFonts w:hint="eastAsia" w:ascii="仿宋" w:hAnsi="仿宋" w:eastAsia="仿宋"/>
          <w:sz w:val="30"/>
          <w:szCs w:val="30"/>
        </w:rPr>
      </w:pPr>
      <w:r>
        <w:rPr>
          <w:rFonts w:hint="eastAsia" w:ascii="仿宋" w:hAnsi="仿宋" w:eastAsia="仿宋"/>
          <w:sz w:val="30"/>
          <w:szCs w:val="30"/>
        </w:rPr>
        <w:t>该技能训练教材的内容，帮助会计专业学生拥有一个较为完整的技能体系，全面系统地培养学生的技能水平。技能课程设置体系层层递进地将会计专业学生在面向职场后所需具备的各项实践能力予以加强，同时也将前期理论课程的学习进一步深化。</w:t>
      </w:r>
    </w:p>
    <w:p>
      <w:pPr>
        <w:ind w:firstLine="600" w:firstLineChars="200"/>
        <w:rPr>
          <w:rFonts w:hint="eastAsia" w:ascii="仿宋" w:hAnsi="仿宋" w:eastAsia="仿宋"/>
          <w:sz w:val="30"/>
          <w:szCs w:val="30"/>
        </w:rPr>
      </w:pPr>
      <w:r>
        <w:rPr>
          <w:rFonts w:hint="eastAsia" w:ascii="仿宋" w:hAnsi="仿宋" w:eastAsia="仿宋"/>
          <w:sz w:val="30"/>
          <w:szCs w:val="30"/>
        </w:rPr>
        <w:t>（二）重视“双师型”教师培养，优化教师技能教学能力。</w:t>
      </w:r>
    </w:p>
    <w:p>
      <w:pPr>
        <w:ind w:firstLine="600" w:firstLineChars="200"/>
        <w:rPr>
          <w:rFonts w:hint="eastAsia" w:ascii="仿宋" w:hAnsi="仿宋" w:eastAsia="仿宋"/>
          <w:sz w:val="30"/>
          <w:szCs w:val="30"/>
        </w:rPr>
      </w:pPr>
      <w:r>
        <w:rPr>
          <w:rFonts w:hint="eastAsia" w:ascii="仿宋" w:hAnsi="仿宋" w:eastAsia="仿宋"/>
          <w:sz w:val="30"/>
          <w:szCs w:val="30"/>
        </w:rPr>
        <w:t>1.重视双师型教师的培养。</w:t>
      </w:r>
    </w:p>
    <w:p>
      <w:pPr>
        <w:ind w:firstLine="600" w:firstLineChars="200"/>
        <w:rPr>
          <w:rFonts w:hint="eastAsia" w:ascii="仿宋" w:hAnsi="仿宋" w:eastAsia="仿宋"/>
          <w:sz w:val="30"/>
          <w:szCs w:val="30"/>
        </w:rPr>
      </w:pPr>
      <w:r>
        <w:rPr>
          <w:rFonts w:hint="eastAsia" w:ascii="仿宋" w:hAnsi="仿宋" w:eastAsia="仿宋"/>
          <w:sz w:val="30"/>
          <w:szCs w:val="30"/>
        </w:rPr>
        <w:t>会计专业“双师型”教师，指同时具备教师资格和会计师及以上职称的教师。除此之外，还要求专业教师有真实的企业财务岗位的实际工作经验。中职学校要把建设“双师型”教师的团队作为师资队伍建设的重点，有计划地组织会计专业教师参加岗位实践技能培训，逐步提高他们的岗位操作能力。</w:t>
      </w:r>
    </w:p>
    <w:p>
      <w:pPr>
        <w:ind w:firstLine="600" w:firstLineChars="200"/>
        <w:rPr>
          <w:rFonts w:hint="eastAsia" w:ascii="仿宋" w:hAnsi="仿宋" w:eastAsia="仿宋"/>
          <w:sz w:val="30"/>
          <w:szCs w:val="30"/>
        </w:rPr>
      </w:pPr>
      <w:r>
        <w:rPr>
          <w:rFonts w:hint="eastAsia" w:ascii="仿宋" w:hAnsi="仿宋" w:eastAsia="仿宋"/>
          <w:sz w:val="30"/>
          <w:szCs w:val="30"/>
        </w:rPr>
        <w:t>2.为教师提供岗位实践机会。</w:t>
      </w:r>
    </w:p>
    <w:p>
      <w:pPr>
        <w:ind w:firstLine="600" w:firstLineChars="200"/>
        <w:rPr>
          <w:rFonts w:hint="eastAsia" w:ascii="仿宋" w:hAnsi="仿宋" w:eastAsia="仿宋"/>
          <w:sz w:val="30"/>
          <w:szCs w:val="30"/>
        </w:rPr>
      </w:pPr>
      <w:r>
        <w:rPr>
          <w:rFonts w:hint="eastAsia" w:ascii="仿宋" w:hAnsi="仿宋" w:eastAsia="仿宋"/>
          <w:sz w:val="30"/>
          <w:szCs w:val="30"/>
        </w:rPr>
        <w:t>会计专业实践操作性很强，学校应根据会计专业教学实际情况有计划安排会计专业教师顶岗实习，让教师深入企业跟随企业有经验的财务人员处理会计相关工作，积累会计岗位实践经验，提升技能教学水平。</w:t>
      </w:r>
    </w:p>
    <w:p>
      <w:pPr>
        <w:ind w:firstLine="600" w:firstLineChars="200"/>
        <w:rPr>
          <w:rFonts w:hint="eastAsia" w:ascii="仿宋" w:hAnsi="仿宋" w:eastAsia="仿宋"/>
          <w:sz w:val="30"/>
          <w:szCs w:val="30"/>
        </w:rPr>
      </w:pPr>
      <w:r>
        <w:rPr>
          <w:rFonts w:hint="eastAsia" w:ascii="仿宋" w:hAnsi="仿宋" w:eastAsia="仿宋"/>
          <w:sz w:val="30"/>
          <w:szCs w:val="30"/>
        </w:rPr>
        <w:t>3.聘请企业财务岗位能手做兼职教师</w:t>
      </w:r>
    </w:p>
    <w:p>
      <w:pPr>
        <w:ind w:firstLine="600" w:firstLineChars="200"/>
        <w:rPr>
          <w:rFonts w:hint="eastAsia" w:ascii="仿宋" w:hAnsi="仿宋" w:eastAsia="仿宋"/>
          <w:sz w:val="30"/>
          <w:szCs w:val="30"/>
        </w:rPr>
      </w:pPr>
      <w:r>
        <w:rPr>
          <w:rFonts w:hint="eastAsia" w:ascii="仿宋" w:hAnsi="仿宋" w:eastAsia="仿宋"/>
          <w:sz w:val="30"/>
          <w:szCs w:val="30"/>
        </w:rPr>
        <w:t>中职学校还可以聘请会计师事务所的岗位能手或者富有丰富经验的企业的财务人员，以兼职教师的身份走进会计实训室，对会计专业教师和学生进行实践经验指导，带领学生完成相关会计实务处理。他们可以指导学生实训操作，也可考察学校会计实训基地并提出完善建议，以提高会计岗位实践教学的质量。</w:t>
      </w:r>
    </w:p>
    <w:p>
      <w:pPr>
        <w:ind w:firstLine="600" w:firstLineChars="200"/>
        <w:rPr>
          <w:rFonts w:hint="eastAsia" w:ascii="仿宋" w:hAnsi="仿宋" w:eastAsia="仿宋"/>
          <w:sz w:val="30"/>
          <w:szCs w:val="30"/>
        </w:rPr>
      </w:pPr>
      <w:r>
        <w:rPr>
          <w:rFonts w:hint="eastAsia" w:ascii="仿宋" w:hAnsi="仿宋" w:eastAsia="仿宋"/>
          <w:sz w:val="30"/>
          <w:szCs w:val="30"/>
        </w:rPr>
        <w:t>（三）建设校内外实训基地，巩固和强化会计专业学生技能水平。</w:t>
      </w:r>
    </w:p>
    <w:p>
      <w:pPr>
        <w:ind w:firstLine="600" w:firstLineChars="200"/>
        <w:rPr>
          <w:rFonts w:hint="eastAsia" w:ascii="仿宋" w:hAnsi="仿宋" w:eastAsia="仿宋"/>
          <w:sz w:val="30"/>
          <w:szCs w:val="30"/>
        </w:rPr>
      </w:pPr>
      <w:r>
        <w:rPr>
          <w:rFonts w:hint="eastAsia" w:ascii="仿宋" w:hAnsi="仿宋" w:eastAsia="仿宋"/>
          <w:sz w:val="30"/>
          <w:szCs w:val="30"/>
        </w:rPr>
        <w:t>1. 完善校内实训基地的建设。</w:t>
      </w:r>
    </w:p>
    <w:p>
      <w:pPr>
        <w:ind w:firstLine="600" w:firstLineChars="200"/>
        <w:rPr>
          <w:rFonts w:hint="eastAsia" w:ascii="仿宋" w:hAnsi="仿宋" w:eastAsia="仿宋"/>
          <w:sz w:val="30"/>
          <w:szCs w:val="30"/>
        </w:rPr>
      </w:pPr>
      <w:r>
        <w:rPr>
          <w:rFonts w:hint="eastAsia" w:ascii="仿宋" w:hAnsi="仿宋" w:eastAsia="仿宋"/>
          <w:sz w:val="30"/>
          <w:szCs w:val="30"/>
        </w:rPr>
        <w:t>随着时代的发展，中职学校会计专业都建立了实训场所，但实训环境和实训设备缺乏更新和完善。为了使会计技能教学紧跟企业实际岗位的需求，校内会计实训基地一定要不断充实和完善实训设备，创设各类会计技能操作条件，实现会计专业的仿真模拟环境，让学生运用所学理论知识，完成岗位实践操作，提升会计岗位实践能力。</w:t>
      </w:r>
    </w:p>
    <w:p>
      <w:pPr>
        <w:ind w:firstLine="600" w:firstLineChars="200"/>
        <w:rPr>
          <w:rFonts w:hint="eastAsia" w:ascii="仿宋" w:hAnsi="仿宋" w:eastAsia="仿宋"/>
          <w:sz w:val="30"/>
          <w:szCs w:val="30"/>
        </w:rPr>
      </w:pPr>
      <w:r>
        <w:rPr>
          <w:rFonts w:hint="eastAsia" w:ascii="仿宋" w:hAnsi="仿宋" w:eastAsia="仿宋"/>
          <w:sz w:val="30"/>
          <w:szCs w:val="30"/>
        </w:rPr>
        <w:t>(1)实训基地的基本设置。校内会计实训基地最基本的设置是手工会计实训室、电算化实训室、点钞实训室、模拟银行等实训场地。在此基础上，配备先进的会计电算化软件和其他辅助性教学软件，以满足技能教学的需要。实训室还应配备与时俱进的全套仿真的凭证、账簿，一式多联的原始凭证，如发票、各种单据等，给学生营造真实的工作环境。此外，为了提高技能训练的效果，训练数据必须具有很高的仿真度。</w:t>
      </w:r>
    </w:p>
    <w:p>
      <w:pPr>
        <w:ind w:firstLine="600" w:firstLineChars="200"/>
        <w:rPr>
          <w:rFonts w:hint="eastAsia" w:ascii="仿宋" w:hAnsi="仿宋" w:eastAsia="仿宋"/>
          <w:sz w:val="30"/>
          <w:szCs w:val="30"/>
        </w:rPr>
      </w:pPr>
      <w:r>
        <w:rPr>
          <w:rFonts w:hint="eastAsia" w:ascii="仿宋" w:hAnsi="仿宋" w:eastAsia="仿宋"/>
          <w:sz w:val="30"/>
          <w:szCs w:val="30"/>
        </w:rPr>
        <w:t>（2）实训基地设置的外部环境。实训基地还可设置企业的外部环境，增加税务、银行、审计、工商、保险、供应商企业和客户企业等多个部门的设置。将企业的会计环境按岗位设置，如设置出纳岗位、会计核算岗位、往来业务岗位、总账岗位、财务报表编制岗位等。会计模拟实训室就是企业财务部的缩影，其空间格局，让学生有种进入会计模拟实训室就感觉进入企业的财务部一样。</w:t>
      </w:r>
    </w:p>
    <w:p>
      <w:pPr>
        <w:ind w:firstLine="600" w:firstLineChars="200"/>
        <w:rPr>
          <w:rFonts w:hint="eastAsia" w:ascii="仿宋" w:hAnsi="仿宋" w:eastAsia="仿宋"/>
          <w:sz w:val="30"/>
          <w:szCs w:val="30"/>
        </w:rPr>
      </w:pPr>
      <w:r>
        <w:rPr>
          <w:rFonts w:hint="eastAsia" w:ascii="仿宋" w:hAnsi="仿宋" w:eastAsia="仿宋"/>
          <w:sz w:val="30"/>
          <w:szCs w:val="30"/>
        </w:rPr>
        <w:t>（3）实训的基本要求。校内虽为模拟实训，但应要求学生严格遵守会计基础工作规范和会计职业道德，依据技能教学学习计划，完成技能教学任务，整理岗位工作流程和学习心得体会。要尽可能地安排学生进行多次反复实践，在理论学习的基础上不断强化，提高体验式的完整技能教学流程，在有限的时间内教会学生所有具体的实践技能或让学生完成全部实践技能工作。</w:t>
      </w:r>
    </w:p>
    <w:p>
      <w:pPr>
        <w:ind w:firstLine="600" w:firstLineChars="200"/>
        <w:rPr>
          <w:rFonts w:hint="eastAsia" w:ascii="仿宋" w:hAnsi="仿宋" w:eastAsia="仿宋"/>
          <w:sz w:val="30"/>
          <w:szCs w:val="30"/>
        </w:rPr>
      </w:pPr>
      <w:r>
        <w:rPr>
          <w:rFonts w:hint="eastAsia" w:ascii="仿宋" w:hAnsi="仿宋" w:eastAsia="仿宋"/>
          <w:sz w:val="30"/>
          <w:szCs w:val="30"/>
        </w:rPr>
        <w:t>完善校企合作、工学结合，加强校外见习实习基地建设。除了校内实训场所，学校还要积极开发校外见习实习场所，激发行业企业参与中职会计专业领域校企合作的积极性，开展校企深度合作。坚持产学研结合的专业建设方向，学校与企业加强沟通，一方面，将行业会计能手、企业技术专家请进课堂；另一方面，组织学生进行工学结合、顶岗实习，组织教师下企业挂职锻炼。</w:t>
      </w:r>
    </w:p>
    <w:p>
      <w:pPr>
        <w:ind w:firstLine="600" w:firstLineChars="200"/>
        <w:rPr>
          <w:rFonts w:hint="eastAsia" w:ascii="仿宋" w:hAnsi="仿宋" w:eastAsia="仿宋"/>
          <w:sz w:val="30"/>
          <w:szCs w:val="30"/>
        </w:rPr>
      </w:pPr>
      <w:r>
        <w:rPr>
          <w:rFonts w:hint="eastAsia" w:ascii="仿宋" w:hAnsi="仿宋" w:eastAsia="仿宋"/>
          <w:sz w:val="30"/>
          <w:szCs w:val="30"/>
        </w:rPr>
        <w:t>通过见习实习，让学生了解会计工作的真实场景，了解企业的会计对会计凭证、会计账簿、会计报告是如何操作的，了解真实的会计业务处理程序；把握真实经济业务的处理，例如，如何办理现金、银行存款结算业务，如何进行现金、银行存款清查，如何进行产品成本核算等。加深学生对企业会计工作的直观认识，激发他们的学习兴趣。</w:t>
      </w:r>
    </w:p>
    <w:p>
      <w:pPr>
        <w:ind w:firstLine="600" w:firstLineChars="200"/>
        <w:rPr>
          <w:rFonts w:hint="eastAsia" w:ascii="仿宋" w:hAnsi="仿宋" w:eastAsia="仿宋"/>
          <w:sz w:val="30"/>
          <w:szCs w:val="30"/>
        </w:rPr>
      </w:pPr>
      <w:r>
        <w:rPr>
          <w:rFonts w:hint="eastAsia" w:ascii="仿宋" w:hAnsi="仿宋" w:eastAsia="仿宋"/>
          <w:sz w:val="30"/>
          <w:szCs w:val="30"/>
        </w:rPr>
        <w:t>由于会计岗位的局限性，学生全部进入企业财务部门实习的难度非常大，为加强会计实际操作技能培养，可以采用企业真实业务凭证，针对典型会计岗位，开展工学结合教学模式的大胆创新。比如说以一家中型制造企业为蓝本，将全部原始凭证进行扫描，真实再现企业全部的财务活动。邀请企业会计人员作为实习指导老师进行现场指导，指导老师既告诉学生处理经济业务，也告诉学生会计人员如何在工作中守法又避责，如何处理制度与人的关系等。通过学校和企业之间的合作，克服了会计教学理论与实践相脱节旳弊端，使会计岗位的实习能真正学到东西。</w:t>
      </w:r>
    </w:p>
    <w:p>
      <w:pPr>
        <w:ind w:firstLine="600" w:firstLineChars="200"/>
        <w:rPr>
          <w:rFonts w:hint="eastAsia" w:ascii="仿宋" w:hAnsi="仿宋" w:eastAsia="仿宋"/>
          <w:sz w:val="30"/>
          <w:szCs w:val="30"/>
        </w:rPr>
      </w:pPr>
      <w:r>
        <w:rPr>
          <w:rFonts w:hint="eastAsia" w:ascii="仿宋" w:hAnsi="仿宋" w:eastAsia="仿宋"/>
          <w:sz w:val="30"/>
          <w:szCs w:val="30"/>
        </w:rPr>
        <w:t>（四）进行考试改革，创新考核评价方法。</w:t>
      </w:r>
    </w:p>
    <w:p>
      <w:pPr>
        <w:ind w:firstLine="600" w:firstLineChars="200"/>
        <w:rPr>
          <w:rFonts w:hint="eastAsia" w:ascii="仿宋" w:hAnsi="仿宋" w:eastAsia="仿宋"/>
          <w:sz w:val="30"/>
          <w:szCs w:val="30"/>
        </w:rPr>
      </w:pPr>
      <w:r>
        <w:rPr>
          <w:rFonts w:hint="eastAsia" w:ascii="仿宋" w:hAnsi="仿宋" w:eastAsia="仿宋"/>
          <w:sz w:val="30"/>
          <w:szCs w:val="30"/>
        </w:rPr>
        <w:t>会计技能教学评价体系要与时俱进，改变传统的理论考试的终结性评价，采用更加科学的评价体系。在会计技能课程中，我们一般要求学生轮换岗位完成某个企业的某段时间的一整套经济业务。在对学生进行评价时，不能单单看学生最终的实训作品、实训报告，还要评价学生实训的过程，增加过程性考核的比例，力求运用新的评价手段测试出学生的真实水平，让学生及时感知到自己的长处与不足，取长补短，不断进步。</w:t>
      </w:r>
    </w:p>
    <w:p>
      <w:pPr>
        <w:ind w:firstLine="600" w:firstLineChars="200"/>
        <w:rPr>
          <w:rFonts w:hint="eastAsia" w:ascii="仿宋" w:hAnsi="仿宋" w:eastAsia="仿宋"/>
          <w:sz w:val="30"/>
          <w:szCs w:val="30"/>
        </w:rPr>
      </w:pPr>
      <w:r>
        <w:rPr>
          <w:rFonts w:hint="eastAsia" w:ascii="仿宋" w:hAnsi="仿宋" w:eastAsia="仿宋"/>
          <w:sz w:val="30"/>
          <w:szCs w:val="30"/>
        </w:rPr>
        <w:t>以财务报表编制为例，采用考法改革，不用再以选择题、简答题的形式出现在试卷上，除了考核平时课堂上完成作业的情况外，可以给学生一套业务题，学生根据具体经济业务，完成会计实务操作，最后教师凭证和财务报表评分即可。还可以联合会计电算化一起考试，学生在规定的时间完成手工会计实训操作和电子记账，这种考核方式，具体、直观，全面考核学生实践能力，学生在参加考评的过程中提升了实践能力，达到了考核效果。</w:t>
      </w:r>
    </w:p>
    <w:p>
      <w:pPr>
        <w:ind w:firstLine="602" w:firstLineChars="200"/>
        <w:rPr>
          <w:rFonts w:hint="eastAsia" w:ascii="仿宋" w:hAnsi="仿宋" w:eastAsia="仿宋" w:cs="黑体"/>
          <w:b/>
          <w:bCs/>
          <w:sz w:val="30"/>
          <w:szCs w:val="30"/>
        </w:rPr>
      </w:pPr>
      <w:r>
        <w:rPr>
          <w:rFonts w:hint="eastAsia" w:ascii="仿宋" w:hAnsi="仿宋" w:eastAsia="仿宋" w:cs="黑体"/>
          <w:b/>
          <w:bCs/>
          <w:sz w:val="30"/>
          <w:szCs w:val="30"/>
        </w:rPr>
        <w:t>五、结语</w:t>
      </w:r>
    </w:p>
    <w:p>
      <w:pPr>
        <w:ind w:firstLine="600" w:firstLineChars="200"/>
        <w:rPr>
          <w:rFonts w:hint="eastAsia" w:ascii="仿宋" w:hAnsi="仿宋" w:eastAsia="仿宋"/>
          <w:sz w:val="30"/>
          <w:szCs w:val="30"/>
        </w:rPr>
      </w:pPr>
      <w:r>
        <w:rPr>
          <w:rFonts w:hint="eastAsia" w:ascii="仿宋" w:hAnsi="仿宋" w:eastAsia="仿宋"/>
          <w:sz w:val="30"/>
          <w:szCs w:val="30"/>
        </w:rPr>
        <w:t>社会的发展对会计技能教学提出了更高要求。总的来说，会计技能教学应贯穿于整个会计学习阶段，这样才能提高学生的动手能力，提高培养质量。要遵循从易到难、循序渐进的原则，合理地安排各种实践性技能教学活动，形成教师与学生之间的良性互动和促进互动的长效机制，引导学生从课堂中走出来，深入到技能实训中去，从虚拟到实务、从实训到毕业实习，切实提高学生的会计技能水平。</w:t>
      </w:r>
    </w:p>
    <w:p>
      <w:pPr>
        <w:ind w:firstLine="600" w:firstLineChars="200"/>
        <w:rPr>
          <w:rFonts w:hint="eastAsia" w:ascii="仿宋" w:hAnsi="仿宋" w:eastAsia="仿宋"/>
          <w:sz w:val="30"/>
          <w:szCs w:val="30"/>
        </w:rPr>
      </w:pPr>
      <w:r>
        <w:rPr>
          <w:rFonts w:hint="eastAsia" w:ascii="仿宋" w:hAnsi="仿宋" w:eastAsia="仿宋"/>
          <w:sz w:val="30"/>
          <w:szCs w:val="30"/>
        </w:rPr>
        <w:t>参考文献</w:t>
      </w:r>
    </w:p>
    <w:p>
      <w:pPr>
        <w:ind w:firstLine="600" w:firstLineChars="200"/>
        <w:rPr>
          <w:rFonts w:hint="eastAsia" w:ascii="仿宋" w:hAnsi="仿宋" w:eastAsia="仿宋"/>
          <w:sz w:val="30"/>
          <w:szCs w:val="30"/>
        </w:rPr>
      </w:pPr>
      <w:r>
        <w:rPr>
          <w:rFonts w:hint="eastAsia" w:ascii="仿宋" w:hAnsi="仿宋" w:eastAsia="仿宋"/>
          <w:sz w:val="30"/>
          <w:szCs w:val="30"/>
        </w:rPr>
        <w:t>[1] 伍金庭.高职院校在教学中强化技能教学探讨[J].中小企业管理与科技(下旬刊),2013(6):175-176.</w:t>
      </w:r>
    </w:p>
    <w:p>
      <w:pPr>
        <w:ind w:firstLine="600" w:firstLineChars="200"/>
        <w:rPr>
          <w:rFonts w:hint="eastAsia" w:ascii="仿宋" w:hAnsi="仿宋" w:eastAsia="仿宋"/>
          <w:sz w:val="30"/>
          <w:szCs w:val="30"/>
        </w:rPr>
      </w:pPr>
      <w:r>
        <w:rPr>
          <w:rFonts w:hint="eastAsia" w:ascii="仿宋" w:hAnsi="仿宋" w:eastAsia="仿宋"/>
          <w:sz w:val="30"/>
          <w:szCs w:val="30"/>
        </w:rPr>
        <w:t>[2] 沙丽君.提高技能教学质量应把握的6个环节[J].企业技术开发,2010(15):186-187.</w:t>
      </w:r>
    </w:p>
    <w:p>
      <w:pPr>
        <w:ind w:firstLine="600" w:firstLineChars="200"/>
        <w:rPr>
          <w:rFonts w:hint="eastAsia" w:ascii="仿宋" w:hAnsi="仿宋" w:eastAsia="仿宋"/>
          <w:sz w:val="30"/>
          <w:szCs w:val="30"/>
        </w:rPr>
      </w:pPr>
      <w:r>
        <w:rPr>
          <w:rFonts w:hint="eastAsia" w:ascii="仿宋" w:hAnsi="仿宋" w:eastAsia="仿宋"/>
          <w:sz w:val="30"/>
          <w:szCs w:val="30"/>
        </w:rPr>
        <w:t>[3] 蒙贞.现代职业教育视域下的会计技能教学改革与创新[J].经营管理者,2015(36):507-508.</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6"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vigOtEAAAACAQAADwAAAAAAAAABACAAAAAiAAAAZHJzL2Rvd25yZXYueG1sUEsBAhQAFAAAAAgA&#10;h07iQGCKHyu6AQAAUQMAAA4AAAAAAAAAAQAgAAAAIAEAAGRycy9lMm9Eb2MueG1sUEsFBgAAAAAG&#10;AAYAWQEAAEw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65EE2"/>
    <w:multiLevelType w:val="multilevel"/>
    <w:tmpl w:val="3A965EE2"/>
    <w:lvl w:ilvl="0" w:tentative="0">
      <w:start w:val="4"/>
      <w:numFmt w:val="japaneseCounting"/>
      <w:lvlText w:val="%1、"/>
      <w:lvlJc w:val="left"/>
      <w:pPr>
        <w:ind w:left="1316" w:hanging="720"/>
      </w:pPr>
      <w:rPr>
        <w:rFonts w:hint="default"/>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F6"/>
    <w:rsid w:val="00015709"/>
    <w:rsid w:val="0001694D"/>
    <w:rsid w:val="00021B84"/>
    <w:rsid w:val="00096344"/>
    <w:rsid w:val="00126AF1"/>
    <w:rsid w:val="00142471"/>
    <w:rsid w:val="0016496F"/>
    <w:rsid w:val="001B651B"/>
    <w:rsid w:val="001D076E"/>
    <w:rsid w:val="001D3340"/>
    <w:rsid w:val="00241A12"/>
    <w:rsid w:val="0027261D"/>
    <w:rsid w:val="0028174E"/>
    <w:rsid w:val="00283EA9"/>
    <w:rsid w:val="002D53C4"/>
    <w:rsid w:val="002F64D7"/>
    <w:rsid w:val="00321512"/>
    <w:rsid w:val="003679E5"/>
    <w:rsid w:val="004247A5"/>
    <w:rsid w:val="00433B74"/>
    <w:rsid w:val="00455B5E"/>
    <w:rsid w:val="0054472B"/>
    <w:rsid w:val="0060354B"/>
    <w:rsid w:val="00610FCA"/>
    <w:rsid w:val="006250F6"/>
    <w:rsid w:val="0068477B"/>
    <w:rsid w:val="006B5236"/>
    <w:rsid w:val="006E0955"/>
    <w:rsid w:val="006F511B"/>
    <w:rsid w:val="00767636"/>
    <w:rsid w:val="0086790D"/>
    <w:rsid w:val="00986F2E"/>
    <w:rsid w:val="00A606E3"/>
    <w:rsid w:val="00AB2D0C"/>
    <w:rsid w:val="00AD219A"/>
    <w:rsid w:val="00B31AFE"/>
    <w:rsid w:val="00C23D33"/>
    <w:rsid w:val="00C50876"/>
    <w:rsid w:val="00CD04E3"/>
    <w:rsid w:val="00CD55F3"/>
    <w:rsid w:val="00D22552"/>
    <w:rsid w:val="00E0601E"/>
    <w:rsid w:val="00E15CCB"/>
    <w:rsid w:val="00E24CAE"/>
    <w:rsid w:val="00EE4CE3"/>
    <w:rsid w:val="00F03702"/>
    <w:rsid w:val="00F14714"/>
    <w:rsid w:val="00F40B42"/>
    <w:rsid w:val="010905A5"/>
    <w:rsid w:val="01181B71"/>
    <w:rsid w:val="01C56318"/>
    <w:rsid w:val="021028BD"/>
    <w:rsid w:val="023A769B"/>
    <w:rsid w:val="02797C4E"/>
    <w:rsid w:val="02E4770B"/>
    <w:rsid w:val="03585C57"/>
    <w:rsid w:val="03690584"/>
    <w:rsid w:val="03B30F96"/>
    <w:rsid w:val="03B3407D"/>
    <w:rsid w:val="03EB0343"/>
    <w:rsid w:val="04172B25"/>
    <w:rsid w:val="044450E3"/>
    <w:rsid w:val="04D61DD4"/>
    <w:rsid w:val="04D972A1"/>
    <w:rsid w:val="04FB6A30"/>
    <w:rsid w:val="051311CC"/>
    <w:rsid w:val="06116632"/>
    <w:rsid w:val="06C610A8"/>
    <w:rsid w:val="07023BEE"/>
    <w:rsid w:val="07096527"/>
    <w:rsid w:val="07314C03"/>
    <w:rsid w:val="079717FD"/>
    <w:rsid w:val="07D8689A"/>
    <w:rsid w:val="07E6181A"/>
    <w:rsid w:val="08B17A7F"/>
    <w:rsid w:val="08F3100E"/>
    <w:rsid w:val="09B07883"/>
    <w:rsid w:val="09EF1135"/>
    <w:rsid w:val="0A0E4EF6"/>
    <w:rsid w:val="0A31484A"/>
    <w:rsid w:val="0A662F8C"/>
    <w:rsid w:val="0B1774D1"/>
    <w:rsid w:val="0B6C5984"/>
    <w:rsid w:val="0BEE4AB7"/>
    <w:rsid w:val="0C1966A1"/>
    <w:rsid w:val="0C2727AC"/>
    <w:rsid w:val="0C58526F"/>
    <w:rsid w:val="0C703EFC"/>
    <w:rsid w:val="0D0B6562"/>
    <w:rsid w:val="0D651B86"/>
    <w:rsid w:val="0D9546FD"/>
    <w:rsid w:val="0DCF1E55"/>
    <w:rsid w:val="0E267AA0"/>
    <w:rsid w:val="0E9B077B"/>
    <w:rsid w:val="0EB56291"/>
    <w:rsid w:val="10447D78"/>
    <w:rsid w:val="10544BB0"/>
    <w:rsid w:val="10A421BF"/>
    <w:rsid w:val="10AA6166"/>
    <w:rsid w:val="10B413AE"/>
    <w:rsid w:val="10B50486"/>
    <w:rsid w:val="122515B9"/>
    <w:rsid w:val="12AB699B"/>
    <w:rsid w:val="13A5596E"/>
    <w:rsid w:val="13C4549E"/>
    <w:rsid w:val="13E473A1"/>
    <w:rsid w:val="147B41BF"/>
    <w:rsid w:val="14FB6957"/>
    <w:rsid w:val="15052A0E"/>
    <w:rsid w:val="15A23F0E"/>
    <w:rsid w:val="160A4D70"/>
    <w:rsid w:val="16395713"/>
    <w:rsid w:val="168E4F25"/>
    <w:rsid w:val="17046DF1"/>
    <w:rsid w:val="17464FD4"/>
    <w:rsid w:val="17D577CF"/>
    <w:rsid w:val="183D7B2B"/>
    <w:rsid w:val="18444A43"/>
    <w:rsid w:val="184D5915"/>
    <w:rsid w:val="185217E4"/>
    <w:rsid w:val="187110B2"/>
    <w:rsid w:val="187D7FFA"/>
    <w:rsid w:val="189A70C8"/>
    <w:rsid w:val="18F119DA"/>
    <w:rsid w:val="19086BCC"/>
    <w:rsid w:val="197008A9"/>
    <w:rsid w:val="19A44328"/>
    <w:rsid w:val="1A2E5ED4"/>
    <w:rsid w:val="1A5838F3"/>
    <w:rsid w:val="1A800A7C"/>
    <w:rsid w:val="1AAF31ED"/>
    <w:rsid w:val="1AE71F75"/>
    <w:rsid w:val="1B014A5C"/>
    <w:rsid w:val="1B030CA8"/>
    <w:rsid w:val="1B567027"/>
    <w:rsid w:val="1B5A111E"/>
    <w:rsid w:val="1B921735"/>
    <w:rsid w:val="1B9870DD"/>
    <w:rsid w:val="1C156E36"/>
    <w:rsid w:val="1C3D53FB"/>
    <w:rsid w:val="1C7A77E9"/>
    <w:rsid w:val="1CB60637"/>
    <w:rsid w:val="1D20404E"/>
    <w:rsid w:val="1D3219B9"/>
    <w:rsid w:val="1E384B0B"/>
    <w:rsid w:val="1E5B1594"/>
    <w:rsid w:val="1F1335A4"/>
    <w:rsid w:val="1F303DB8"/>
    <w:rsid w:val="1F8173D1"/>
    <w:rsid w:val="20BF6651"/>
    <w:rsid w:val="20F97062"/>
    <w:rsid w:val="210A1AAB"/>
    <w:rsid w:val="21D22470"/>
    <w:rsid w:val="21DF2B84"/>
    <w:rsid w:val="2257269C"/>
    <w:rsid w:val="22F462EF"/>
    <w:rsid w:val="22F754BA"/>
    <w:rsid w:val="23114DF1"/>
    <w:rsid w:val="23365589"/>
    <w:rsid w:val="236A36AD"/>
    <w:rsid w:val="2383721A"/>
    <w:rsid w:val="23863BF3"/>
    <w:rsid w:val="239C5D9A"/>
    <w:rsid w:val="23D81A18"/>
    <w:rsid w:val="242C73D6"/>
    <w:rsid w:val="243C7047"/>
    <w:rsid w:val="24463C80"/>
    <w:rsid w:val="24514A9A"/>
    <w:rsid w:val="24BD4D27"/>
    <w:rsid w:val="24F91433"/>
    <w:rsid w:val="2549117C"/>
    <w:rsid w:val="265A6915"/>
    <w:rsid w:val="26635BB4"/>
    <w:rsid w:val="26D860B1"/>
    <w:rsid w:val="2738578E"/>
    <w:rsid w:val="27392121"/>
    <w:rsid w:val="276B785B"/>
    <w:rsid w:val="284E6AC7"/>
    <w:rsid w:val="28553761"/>
    <w:rsid w:val="286C5AF0"/>
    <w:rsid w:val="28835AE3"/>
    <w:rsid w:val="29245AC1"/>
    <w:rsid w:val="294B7F93"/>
    <w:rsid w:val="29CB491B"/>
    <w:rsid w:val="29DC0C96"/>
    <w:rsid w:val="2A325E96"/>
    <w:rsid w:val="2A59027A"/>
    <w:rsid w:val="2A6851F9"/>
    <w:rsid w:val="2A853782"/>
    <w:rsid w:val="2B1155FA"/>
    <w:rsid w:val="2B470C68"/>
    <w:rsid w:val="2B6E6DC1"/>
    <w:rsid w:val="2C0C3C96"/>
    <w:rsid w:val="2CBB372D"/>
    <w:rsid w:val="2CCC5838"/>
    <w:rsid w:val="2D060CCC"/>
    <w:rsid w:val="2D1E5D5F"/>
    <w:rsid w:val="2D584521"/>
    <w:rsid w:val="2D743B68"/>
    <w:rsid w:val="2DA11DF9"/>
    <w:rsid w:val="2DCA3BDE"/>
    <w:rsid w:val="2DCA7A14"/>
    <w:rsid w:val="2E565375"/>
    <w:rsid w:val="2E7C1170"/>
    <w:rsid w:val="2E82088A"/>
    <w:rsid w:val="2E954C18"/>
    <w:rsid w:val="2EAD1778"/>
    <w:rsid w:val="2ED54972"/>
    <w:rsid w:val="2EF45104"/>
    <w:rsid w:val="2F0F6C6D"/>
    <w:rsid w:val="2F194C5D"/>
    <w:rsid w:val="2F1F3ABD"/>
    <w:rsid w:val="2F390F5C"/>
    <w:rsid w:val="2F4A1622"/>
    <w:rsid w:val="2F580E34"/>
    <w:rsid w:val="2F7A3636"/>
    <w:rsid w:val="2F993450"/>
    <w:rsid w:val="2FAB3E1B"/>
    <w:rsid w:val="30415110"/>
    <w:rsid w:val="30846DA1"/>
    <w:rsid w:val="318E41E3"/>
    <w:rsid w:val="31D115C1"/>
    <w:rsid w:val="32164438"/>
    <w:rsid w:val="3253407D"/>
    <w:rsid w:val="32802670"/>
    <w:rsid w:val="3289591B"/>
    <w:rsid w:val="32CB2392"/>
    <w:rsid w:val="33011235"/>
    <w:rsid w:val="33185F41"/>
    <w:rsid w:val="33612701"/>
    <w:rsid w:val="33BC24C4"/>
    <w:rsid w:val="33C20111"/>
    <w:rsid w:val="33E333BF"/>
    <w:rsid w:val="34222EAC"/>
    <w:rsid w:val="34435737"/>
    <w:rsid w:val="34454FA4"/>
    <w:rsid w:val="35856CEC"/>
    <w:rsid w:val="35AB386C"/>
    <w:rsid w:val="35F4653F"/>
    <w:rsid w:val="36043E68"/>
    <w:rsid w:val="361A7DEA"/>
    <w:rsid w:val="367C253E"/>
    <w:rsid w:val="368A478C"/>
    <w:rsid w:val="3719452E"/>
    <w:rsid w:val="372B7E28"/>
    <w:rsid w:val="37C72D52"/>
    <w:rsid w:val="38594B2B"/>
    <w:rsid w:val="386A70C2"/>
    <w:rsid w:val="3984465E"/>
    <w:rsid w:val="3A3424E5"/>
    <w:rsid w:val="3A84393B"/>
    <w:rsid w:val="3B913F4C"/>
    <w:rsid w:val="3BAC337B"/>
    <w:rsid w:val="3BC2416A"/>
    <w:rsid w:val="3BD67877"/>
    <w:rsid w:val="3C0E4782"/>
    <w:rsid w:val="3C1B3C03"/>
    <w:rsid w:val="3C455A53"/>
    <w:rsid w:val="3C6231E3"/>
    <w:rsid w:val="3CC94098"/>
    <w:rsid w:val="3D3A38BD"/>
    <w:rsid w:val="3D4A3C75"/>
    <w:rsid w:val="3D8F3125"/>
    <w:rsid w:val="3E130DF7"/>
    <w:rsid w:val="3E9675B0"/>
    <w:rsid w:val="3EF36D34"/>
    <w:rsid w:val="3F3A70D0"/>
    <w:rsid w:val="3F8861E6"/>
    <w:rsid w:val="3FA36D30"/>
    <w:rsid w:val="3FC406EC"/>
    <w:rsid w:val="3FF14ED6"/>
    <w:rsid w:val="40470B22"/>
    <w:rsid w:val="40533ADB"/>
    <w:rsid w:val="40DE7786"/>
    <w:rsid w:val="410D33FD"/>
    <w:rsid w:val="41634393"/>
    <w:rsid w:val="41920E95"/>
    <w:rsid w:val="422900ED"/>
    <w:rsid w:val="422D512C"/>
    <w:rsid w:val="42344AA6"/>
    <w:rsid w:val="4240286E"/>
    <w:rsid w:val="426E7A6F"/>
    <w:rsid w:val="42A161AF"/>
    <w:rsid w:val="42C922F2"/>
    <w:rsid w:val="439F6B48"/>
    <w:rsid w:val="4408681A"/>
    <w:rsid w:val="440C65D1"/>
    <w:rsid w:val="440F6ED0"/>
    <w:rsid w:val="451B6663"/>
    <w:rsid w:val="45314185"/>
    <w:rsid w:val="45447857"/>
    <w:rsid w:val="45461E7C"/>
    <w:rsid w:val="456C773D"/>
    <w:rsid w:val="45957028"/>
    <w:rsid w:val="45B45BDD"/>
    <w:rsid w:val="464239A5"/>
    <w:rsid w:val="467127C2"/>
    <w:rsid w:val="46966CFF"/>
    <w:rsid w:val="46B3769F"/>
    <w:rsid w:val="46C72ADD"/>
    <w:rsid w:val="46D266F5"/>
    <w:rsid w:val="46E826F8"/>
    <w:rsid w:val="47172051"/>
    <w:rsid w:val="47757C3F"/>
    <w:rsid w:val="478B62DE"/>
    <w:rsid w:val="479F4EFD"/>
    <w:rsid w:val="47BD3184"/>
    <w:rsid w:val="481B7C75"/>
    <w:rsid w:val="48343CC0"/>
    <w:rsid w:val="48761BF7"/>
    <w:rsid w:val="4886340C"/>
    <w:rsid w:val="48BC0186"/>
    <w:rsid w:val="49634C77"/>
    <w:rsid w:val="4986779D"/>
    <w:rsid w:val="4A344CB5"/>
    <w:rsid w:val="4B7C096B"/>
    <w:rsid w:val="4B9A75FB"/>
    <w:rsid w:val="4B9F080C"/>
    <w:rsid w:val="4C380A42"/>
    <w:rsid w:val="4C4E65F0"/>
    <w:rsid w:val="4C5E4439"/>
    <w:rsid w:val="4C945803"/>
    <w:rsid w:val="4C9F3955"/>
    <w:rsid w:val="4CF51CE8"/>
    <w:rsid w:val="4D5E35B9"/>
    <w:rsid w:val="4D8E57B6"/>
    <w:rsid w:val="4DB9260B"/>
    <w:rsid w:val="4E803D7C"/>
    <w:rsid w:val="4ECD4AEA"/>
    <w:rsid w:val="4EE71C6F"/>
    <w:rsid w:val="4F10799C"/>
    <w:rsid w:val="4F1C2068"/>
    <w:rsid w:val="4F8A4659"/>
    <w:rsid w:val="4FB53A33"/>
    <w:rsid w:val="50062444"/>
    <w:rsid w:val="50150CA4"/>
    <w:rsid w:val="502D3E52"/>
    <w:rsid w:val="504015C1"/>
    <w:rsid w:val="50A06E33"/>
    <w:rsid w:val="510F338C"/>
    <w:rsid w:val="516F7EC0"/>
    <w:rsid w:val="51E82BFA"/>
    <w:rsid w:val="521C5040"/>
    <w:rsid w:val="52261425"/>
    <w:rsid w:val="52834FDF"/>
    <w:rsid w:val="528B26EA"/>
    <w:rsid w:val="53BD2543"/>
    <w:rsid w:val="53D31C09"/>
    <w:rsid w:val="54430C91"/>
    <w:rsid w:val="549A27F3"/>
    <w:rsid w:val="54F21950"/>
    <w:rsid w:val="54FE5AD0"/>
    <w:rsid w:val="551471AC"/>
    <w:rsid w:val="55266632"/>
    <w:rsid w:val="55732660"/>
    <w:rsid w:val="55AD5EC5"/>
    <w:rsid w:val="55E769B4"/>
    <w:rsid w:val="560F3B3D"/>
    <w:rsid w:val="56632797"/>
    <w:rsid w:val="56A352B1"/>
    <w:rsid w:val="56D832BA"/>
    <w:rsid w:val="571F5F75"/>
    <w:rsid w:val="575E123A"/>
    <w:rsid w:val="57EE0CEA"/>
    <w:rsid w:val="584523BB"/>
    <w:rsid w:val="597108F4"/>
    <w:rsid w:val="59BA0AF4"/>
    <w:rsid w:val="59C53F24"/>
    <w:rsid w:val="5A073987"/>
    <w:rsid w:val="5AB126D5"/>
    <w:rsid w:val="5AE13ABB"/>
    <w:rsid w:val="5B01164D"/>
    <w:rsid w:val="5B190356"/>
    <w:rsid w:val="5B815D7A"/>
    <w:rsid w:val="5BB21A88"/>
    <w:rsid w:val="5BC86403"/>
    <w:rsid w:val="5C360788"/>
    <w:rsid w:val="5D00187C"/>
    <w:rsid w:val="5DAF7B3A"/>
    <w:rsid w:val="5DD12002"/>
    <w:rsid w:val="5DED0C72"/>
    <w:rsid w:val="5DF20DA2"/>
    <w:rsid w:val="5E571402"/>
    <w:rsid w:val="5EC03766"/>
    <w:rsid w:val="5EE11C8D"/>
    <w:rsid w:val="5EE52A4F"/>
    <w:rsid w:val="5F5D51BD"/>
    <w:rsid w:val="5FE345A0"/>
    <w:rsid w:val="60BE09AB"/>
    <w:rsid w:val="60F16325"/>
    <w:rsid w:val="60FD20AE"/>
    <w:rsid w:val="61086BAD"/>
    <w:rsid w:val="61290963"/>
    <w:rsid w:val="612D17BD"/>
    <w:rsid w:val="613376F4"/>
    <w:rsid w:val="6188280F"/>
    <w:rsid w:val="61C87ED4"/>
    <w:rsid w:val="61D214D8"/>
    <w:rsid w:val="62140A25"/>
    <w:rsid w:val="625D3B59"/>
    <w:rsid w:val="63627A1A"/>
    <w:rsid w:val="646905F1"/>
    <w:rsid w:val="6472249F"/>
    <w:rsid w:val="648F39A5"/>
    <w:rsid w:val="64D81521"/>
    <w:rsid w:val="64DB7E42"/>
    <w:rsid w:val="64FD0A1F"/>
    <w:rsid w:val="6540130B"/>
    <w:rsid w:val="655A63F6"/>
    <w:rsid w:val="65E60332"/>
    <w:rsid w:val="66904C44"/>
    <w:rsid w:val="66A93130"/>
    <w:rsid w:val="67234481"/>
    <w:rsid w:val="67786E8F"/>
    <w:rsid w:val="67CC541D"/>
    <w:rsid w:val="67EF17E9"/>
    <w:rsid w:val="680868B3"/>
    <w:rsid w:val="6821140A"/>
    <w:rsid w:val="685E051A"/>
    <w:rsid w:val="686C0444"/>
    <w:rsid w:val="68983C8A"/>
    <w:rsid w:val="68A821CD"/>
    <w:rsid w:val="68CC6948"/>
    <w:rsid w:val="692B6864"/>
    <w:rsid w:val="69763808"/>
    <w:rsid w:val="69944418"/>
    <w:rsid w:val="69CE15E3"/>
    <w:rsid w:val="69EF1BA6"/>
    <w:rsid w:val="69FC4284"/>
    <w:rsid w:val="6A26317B"/>
    <w:rsid w:val="6A724C42"/>
    <w:rsid w:val="6A93756C"/>
    <w:rsid w:val="6ABC1C19"/>
    <w:rsid w:val="6ABE379B"/>
    <w:rsid w:val="6B6A676E"/>
    <w:rsid w:val="6B8A19DF"/>
    <w:rsid w:val="6B8C20D2"/>
    <w:rsid w:val="6B9A2253"/>
    <w:rsid w:val="6D626C3F"/>
    <w:rsid w:val="6DB94CB2"/>
    <w:rsid w:val="6DCF1253"/>
    <w:rsid w:val="6DD54E80"/>
    <w:rsid w:val="6E162489"/>
    <w:rsid w:val="6E1E53A1"/>
    <w:rsid w:val="6E215432"/>
    <w:rsid w:val="6E600D9B"/>
    <w:rsid w:val="6F70115F"/>
    <w:rsid w:val="6FB403A5"/>
    <w:rsid w:val="6FBF6428"/>
    <w:rsid w:val="6FCD7482"/>
    <w:rsid w:val="6FF915D2"/>
    <w:rsid w:val="70036D6E"/>
    <w:rsid w:val="706E4C78"/>
    <w:rsid w:val="713354C3"/>
    <w:rsid w:val="71355E0F"/>
    <w:rsid w:val="719F1590"/>
    <w:rsid w:val="71A04125"/>
    <w:rsid w:val="71EC218F"/>
    <w:rsid w:val="724E5332"/>
    <w:rsid w:val="728F2B59"/>
    <w:rsid w:val="731B6613"/>
    <w:rsid w:val="734845B2"/>
    <w:rsid w:val="738C4653"/>
    <w:rsid w:val="73D3713A"/>
    <w:rsid w:val="73D65A21"/>
    <w:rsid w:val="73EF7C43"/>
    <w:rsid w:val="742B08A5"/>
    <w:rsid w:val="742B5DA1"/>
    <w:rsid w:val="74683454"/>
    <w:rsid w:val="74AF6A56"/>
    <w:rsid w:val="74B73783"/>
    <w:rsid w:val="74EF1810"/>
    <w:rsid w:val="7526423C"/>
    <w:rsid w:val="7574138D"/>
    <w:rsid w:val="75F1166D"/>
    <w:rsid w:val="76BA2399"/>
    <w:rsid w:val="76C508AB"/>
    <w:rsid w:val="76D53D7F"/>
    <w:rsid w:val="76F15F14"/>
    <w:rsid w:val="770F015E"/>
    <w:rsid w:val="77166261"/>
    <w:rsid w:val="77AE26D6"/>
    <w:rsid w:val="77D155B6"/>
    <w:rsid w:val="78204FC6"/>
    <w:rsid w:val="783F43EC"/>
    <w:rsid w:val="786377C5"/>
    <w:rsid w:val="788F1DCD"/>
    <w:rsid w:val="78BB7989"/>
    <w:rsid w:val="794E7063"/>
    <w:rsid w:val="797120B2"/>
    <w:rsid w:val="7A310B35"/>
    <w:rsid w:val="7A3C55CB"/>
    <w:rsid w:val="7A836936"/>
    <w:rsid w:val="7A971A5C"/>
    <w:rsid w:val="7AD74436"/>
    <w:rsid w:val="7B2942A3"/>
    <w:rsid w:val="7B675D01"/>
    <w:rsid w:val="7B795D33"/>
    <w:rsid w:val="7B9059ED"/>
    <w:rsid w:val="7BD91205"/>
    <w:rsid w:val="7BF7112E"/>
    <w:rsid w:val="7BFE38A7"/>
    <w:rsid w:val="7C0B26AB"/>
    <w:rsid w:val="7C1F2ADF"/>
    <w:rsid w:val="7C273786"/>
    <w:rsid w:val="7C293AFF"/>
    <w:rsid w:val="7C8B6E39"/>
    <w:rsid w:val="7D323F44"/>
    <w:rsid w:val="7D526199"/>
    <w:rsid w:val="7D6836AA"/>
    <w:rsid w:val="7D811024"/>
    <w:rsid w:val="7D9A1A66"/>
    <w:rsid w:val="7E9419BC"/>
    <w:rsid w:val="7EC501B4"/>
    <w:rsid w:val="7F1D2690"/>
    <w:rsid w:val="7F3B585E"/>
    <w:rsid w:val="7FB429F8"/>
    <w:rsid w:val="7FDC4C16"/>
    <w:rsid w:val="7FE70BE8"/>
    <w:rsid w:val="7FFD7D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740</Words>
  <Characters>4221</Characters>
  <Lines>35</Lines>
  <Paragraphs>9</Paragraphs>
  <ScaleCrop>false</ScaleCrop>
  <LinksUpToDate>false</LinksUpToDate>
  <CharactersWithSpaces>4952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御庭摘希</cp:lastModifiedBy>
  <dcterms:modified xsi:type="dcterms:W3CDTF">2018-01-24T07:32:11Z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