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14D" w:rsidRDefault="00F100E7">
      <w:pPr>
        <w:ind w:firstLine="723"/>
        <w:jc w:val="center"/>
        <w:rPr>
          <w:rFonts w:ascii="黑体" w:eastAsia="黑体" w:hAnsi="黑体"/>
          <w:b/>
          <w:sz w:val="36"/>
          <w:szCs w:val="36"/>
        </w:rPr>
      </w:pPr>
      <w:r>
        <w:rPr>
          <w:rFonts w:ascii="黑体" w:eastAsia="黑体" w:hAnsi="黑体" w:hint="eastAsia"/>
          <w:b/>
          <w:sz w:val="36"/>
          <w:szCs w:val="36"/>
        </w:rPr>
        <w:t>新兴产业形成中的产业技术创新战略联盟标准：概念内涵与现实需求</w:t>
      </w:r>
    </w:p>
    <w:p w:rsidR="00EB314D" w:rsidRDefault="00F100E7">
      <w:pPr>
        <w:ind w:firstLine="723"/>
        <w:jc w:val="center"/>
        <w:rPr>
          <w:rFonts w:ascii="黑体" w:eastAsia="黑体" w:hAnsi="黑体"/>
          <w:b/>
          <w:sz w:val="36"/>
          <w:szCs w:val="36"/>
        </w:rPr>
      </w:pPr>
      <w:r>
        <w:rPr>
          <w:rFonts w:ascii="黑体" w:eastAsia="黑体" w:hAnsi="黑体" w:hint="eastAsia"/>
          <w:b/>
          <w:sz w:val="36"/>
          <w:szCs w:val="36"/>
        </w:rPr>
        <w:t>(</w:t>
      </w:r>
      <w:r>
        <w:rPr>
          <w:rFonts w:ascii="黑体" w:eastAsia="黑体" w:hAnsi="黑体"/>
          <w:b/>
          <w:sz w:val="36"/>
          <w:szCs w:val="36"/>
        </w:rPr>
        <w:t>Analysis on the relevant issues of the industrial technology innovation strategic alliance standard</w:t>
      </w:r>
      <w:r>
        <w:rPr>
          <w:rFonts w:ascii="黑体" w:eastAsia="黑体" w:hAnsi="黑体" w:hint="eastAsia"/>
          <w:b/>
          <w:sz w:val="36"/>
          <w:szCs w:val="36"/>
        </w:rPr>
        <w:t>)</w:t>
      </w:r>
    </w:p>
    <w:p w:rsidR="00EB314D" w:rsidRDefault="00F100E7">
      <w:pPr>
        <w:ind w:firstLine="480"/>
        <w:jc w:val="center"/>
      </w:pPr>
      <w:r>
        <w:rPr>
          <w:rFonts w:ascii="宋体" w:eastAsia="SimSun" w:hAnsi="宋体"/>
          <w:sz w:val="24"/>
          <w:szCs w:val="20"/>
        </w:rPr>
        <w:t>邸晓燕</w:t>
      </w:r>
      <w:bookmarkStart w:id="0" w:name="_ftnref1"/>
      <w:bookmarkEnd w:id="0"/>
      <w:r w:rsidR="00EB314D">
        <w:fldChar w:fldCharType="begin"/>
      </w:r>
      <w:r w:rsidR="00EB314D">
        <w:instrText>HYPERLINK \l "_ftn1"</w:instrText>
      </w:r>
      <w:r w:rsidR="00EB314D">
        <w:fldChar w:fldCharType="separate"/>
      </w:r>
      <w:r>
        <w:t>[1]</w:t>
      </w:r>
      <w:r w:rsidR="00EB314D">
        <w:fldChar w:fldCharType="end"/>
      </w:r>
    </w:p>
    <w:p w:rsidR="00EB314D" w:rsidRPr="00787E3C" w:rsidRDefault="00F100E7" w:rsidP="00787E3C">
      <w:pPr>
        <w:ind w:firstLine="480"/>
        <w:jc w:val="center"/>
        <w:rPr>
          <w:rFonts w:ascii="宋体" w:eastAsiaTheme="minorEastAsia" w:hAnsi="宋体"/>
          <w:sz w:val="24"/>
          <w:szCs w:val="20"/>
        </w:rPr>
      </w:pPr>
      <w:r>
        <w:rPr>
          <w:rFonts w:ascii="宋体" w:eastAsia="SimSun" w:hAnsi="宋体"/>
          <w:sz w:val="24"/>
          <w:szCs w:val="20"/>
        </w:rPr>
        <w:t>（北京化工大学文法学院</w:t>
      </w:r>
      <w:r>
        <w:rPr>
          <w:rFonts w:ascii="宋体" w:eastAsia="SimSun" w:hAnsi="宋体"/>
          <w:sz w:val="24"/>
          <w:szCs w:val="20"/>
        </w:rPr>
        <w:t>/</w:t>
      </w:r>
      <w:r>
        <w:rPr>
          <w:rFonts w:ascii="宋体" w:eastAsia="SimSun" w:hAnsi="宋体"/>
          <w:sz w:val="24"/>
          <w:szCs w:val="20"/>
        </w:rPr>
        <w:t>北京知识产权研究基地，北京市朝阳区北三环中路</w:t>
      </w:r>
      <w:r>
        <w:rPr>
          <w:rFonts w:ascii="宋体" w:eastAsia="SimSun" w:hAnsi="宋体"/>
          <w:sz w:val="24"/>
          <w:szCs w:val="20"/>
        </w:rPr>
        <w:t>15</w:t>
      </w:r>
      <w:r>
        <w:rPr>
          <w:rFonts w:ascii="宋体" w:eastAsia="SimSun" w:hAnsi="宋体"/>
          <w:sz w:val="24"/>
          <w:szCs w:val="20"/>
        </w:rPr>
        <w:t>号，</w:t>
      </w:r>
      <w:r>
        <w:rPr>
          <w:rFonts w:ascii="宋体" w:eastAsia="SimSun" w:hAnsi="宋体"/>
          <w:sz w:val="24"/>
          <w:szCs w:val="20"/>
        </w:rPr>
        <w:t>100029</w:t>
      </w:r>
    </w:p>
    <w:p w:rsidR="00EB314D" w:rsidRDefault="00F100E7">
      <w:pPr>
        <w:spacing w:line="360" w:lineRule="auto"/>
        <w:ind w:firstLine="482"/>
        <w:rPr>
          <w:rFonts w:ascii="宋体" w:hAnsi="宋体"/>
          <w:sz w:val="24"/>
          <w:szCs w:val="24"/>
        </w:rPr>
      </w:pPr>
      <w:r>
        <w:rPr>
          <w:rFonts w:ascii="宋体" w:hAnsi="宋体" w:hint="eastAsia"/>
          <w:b/>
          <w:sz w:val="24"/>
          <w:szCs w:val="24"/>
        </w:rPr>
        <w:t>摘要：</w:t>
      </w:r>
      <w:r>
        <w:rPr>
          <w:rFonts w:ascii="宋体" w:hAnsi="宋体" w:hint="eastAsia"/>
          <w:sz w:val="24"/>
          <w:szCs w:val="24"/>
        </w:rPr>
        <w:t>本文从公共政策理论的视角，探讨了产业技术创新战略联盟标准的内涵，新兴产业中技术创新对联盟标准的需求，并总结试点联盟在开展标准工作中的实践，提出了相关政策建议，</w:t>
      </w:r>
      <w:r>
        <w:rPr>
          <w:rFonts w:ascii="宋体" w:hAnsi="宋体" w:hint="eastAsia"/>
          <w:sz w:val="24"/>
          <w:szCs w:val="24"/>
        </w:rPr>
        <w:t>政府可从引导、示范，建立评价和监督机制等方面，促进产业技术创新战略联盟标准的制定和实施。</w:t>
      </w:r>
    </w:p>
    <w:p w:rsidR="00EB314D" w:rsidRDefault="00F100E7">
      <w:pPr>
        <w:spacing w:line="360" w:lineRule="auto"/>
        <w:ind w:firstLine="482"/>
        <w:rPr>
          <w:rFonts w:ascii="宋体" w:hAnsi="宋体"/>
          <w:sz w:val="24"/>
          <w:szCs w:val="24"/>
        </w:rPr>
      </w:pPr>
      <w:r>
        <w:rPr>
          <w:rFonts w:ascii="宋体" w:hAnsi="宋体" w:hint="eastAsia"/>
          <w:b/>
          <w:sz w:val="24"/>
          <w:szCs w:val="24"/>
        </w:rPr>
        <w:t>关键词：</w:t>
      </w:r>
      <w:r>
        <w:rPr>
          <w:rFonts w:ascii="宋体" w:hAnsi="宋体" w:hint="eastAsia"/>
          <w:sz w:val="24"/>
          <w:szCs w:val="24"/>
        </w:rPr>
        <w:t>产业技术创新战略联盟</w:t>
      </w:r>
      <w:r>
        <w:rPr>
          <w:rFonts w:ascii="宋体" w:hAnsi="宋体" w:hint="eastAsia"/>
          <w:sz w:val="24"/>
          <w:szCs w:val="24"/>
        </w:rPr>
        <w:t xml:space="preserve"> </w:t>
      </w:r>
      <w:r>
        <w:rPr>
          <w:rFonts w:ascii="宋体" w:hAnsi="宋体" w:hint="eastAsia"/>
          <w:sz w:val="24"/>
          <w:szCs w:val="24"/>
        </w:rPr>
        <w:t>联盟标准</w:t>
      </w:r>
      <w:r>
        <w:rPr>
          <w:rFonts w:ascii="宋体" w:hAnsi="宋体" w:hint="eastAsia"/>
          <w:sz w:val="24"/>
          <w:szCs w:val="24"/>
        </w:rPr>
        <w:t xml:space="preserve"> </w:t>
      </w:r>
      <w:r>
        <w:rPr>
          <w:rFonts w:ascii="宋体" w:hAnsi="宋体" w:hint="eastAsia"/>
          <w:sz w:val="24"/>
          <w:szCs w:val="24"/>
        </w:rPr>
        <w:t>自我管制性政策</w:t>
      </w:r>
      <w:r>
        <w:rPr>
          <w:rFonts w:ascii="宋体" w:hAnsi="宋体" w:hint="eastAsia"/>
          <w:sz w:val="24"/>
          <w:szCs w:val="24"/>
        </w:rPr>
        <w:t xml:space="preserve"> </w:t>
      </w:r>
      <w:r>
        <w:rPr>
          <w:rFonts w:ascii="宋体" w:hAnsi="宋体" w:hint="eastAsia"/>
          <w:sz w:val="24"/>
          <w:szCs w:val="24"/>
        </w:rPr>
        <w:t>公共政策</w:t>
      </w:r>
    </w:p>
    <w:p w:rsidR="00EB314D" w:rsidRDefault="00F100E7">
      <w:pPr>
        <w:spacing w:line="360" w:lineRule="auto"/>
        <w:ind w:firstLine="482"/>
        <w:rPr>
          <w:rFonts w:ascii="Times New Roman" w:hAnsi="Times New Roman"/>
          <w:sz w:val="24"/>
          <w:szCs w:val="24"/>
        </w:rPr>
      </w:pPr>
      <w:r>
        <w:rPr>
          <w:rFonts w:ascii="Times New Roman" w:hAnsi="Times New Roman"/>
          <w:b/>
          <w:sz w:val="24"/>
          <w:szCs w:val="24"/>
        </w:rPr>
        <w:t>Abstract</w:t>
      </w:r>
      <w:r>
        <w:rPr>
          <w:rFonts w:ascii="Times New Roman" w:hAnsi="Times New Roman"/>
          <w:b/>
          <w:sz w:val="24"/>
          <w:szCs w:val="24"/>
        </w:rPr>
        <w:t>：</w:t>
      </w:r>
      <w:r>
        <w:rPr>
          <w:rFonts w:ascii="Times New Roman" w:hAnsi="Times New Roman"/>
          <w:sz w:val="24"/>
          <w:szCs w:val="24"/>
        </w:rPr>
        <w:t xml:space="preserve">From the perspective of public policy theory, this essay discusses the necessity of carrying out the alliance standard for industrial technological innovation strategic </w:t>
      </w:r>
      <w:r>
        <w:rPr>
          <w:rFonts w:ascii="Times New Roman" w:hAnsi="Times New Roman"/>
          <w:sz w:val="24"/>
          <w:szCs w:val="24"/>
        </w:rPr>
        <w:t>alliance. The existing standard management system does not adapt to the demand of industrial technology innovation. As a new cooperative organization and frontier group for industrial technology innovation, industry technology innovation strategic alliance</w:t>
      </w:r>
      <w:r>
        <w:rPr>
          <w:rFonts w:ascii="Times New Roman" w:hAnsi="Times New Roman"/>
          <w:sz w:val="24"/>
          <w:szCs w:val="24"/>
        </w:rPr>
        <w:t xml:space="preserve"> has the ability to carry out the alliance standard to lead the industrial innovation and development. The government can guide, demonstrate, establish evaluation and supervision mechanism, etc., to promote the development and implementation of industrial </w:t>
      </w:r>
      <w:r>
        <w:rPr>
          <w:rFonts w:ascii="Times New Roman" w:hAnsi="Times New Roman"/>
          <w:sz w:val="24"/>
          <w:szCs w:val="24"/>
        </w:rPr>
        <w:t>technology innovation strategic alliance standards.</w:t>
      </w:r>
    </w:p>
    <w:p w:rsidR="00EB314D" w:rsidRDefault="00F100E7">
      <w:pPr>
        <w:spacing w:line="360" w:lineRule="auto"/>
        <w:ind w:firstLine="482"/>
        <w:rPr>
          <w:rFonts w:ascii="Times New Roman" w:hAnsi="Times New Roman"/>
          <w:sz w:val="24"/>
          <w:szCs w:val="24"/>
        </w:rPr>
      </w:pPr>
      <w:r>
        <w:rPr>
          <w:rFonts w:ascii="Times New Roman" w:hAnsi="Times New Roman"/>
          <w:b/>
          <w:sz w:val="24"/>
          <w:szCs w:val="24"/>
        </w:rPr>
        <w:t>Key words:</w:t>
      </w:r>
      <w:r>
        <w:rPr>
          <w:rFonts w:ascii="Times New Roman" w:hAnsi="Times New Roman"/>
          <w:sz w:val="24"/>
          <w:szCs w:val="24"/>
        </w:rPr>
        <w:t xml:space="preserve"> Industrial Technological Innovation Strategic Alliance, Alliance Standards, Self-Regulatory Policy</w:t>
      </w:r>
    </w:p>
    <w:p w:rsidR="00EB314D" w:rsidRDefault="00F100E7">
      <w:pPr>
        <w:spacing w:line="360" w:lineRule="auto"/>
        <w:ind w:firstLine="562"/>
        <w:rPr>
          <w:rFonts w:ascii="黑体" w:eastAsia="黑体" w:hAnsi="黑体"/>
          <w:b/>
          <w:sz w:val="28"/>
          <w:szCs w:val="28"/>
        </w:rPr>
      </w:pPr>
      <w:r>
        <w:rPr>
          <w:rFonts w:ascii="黑体" w:eastAsia="黑体" w:hAnsi="黑体" w:hint="eastAsia"/>
          <w:b/>
          <w:sz w:val="28"/>
          <w:szCs w:val="28"/>
        </w:rPr>
        <w:t>1.</w:t>
      </w:r>
      <w:r>
        <w:rPr>
          <w:rFonts w:ascii="黑体" w:eastAsia="黑体" w:hAnsi="黑体" w:hint="eastAsia"/>
          <w:b/>
          <w:sz w:val="28"/>
          <w:szCs w:val="28"/>
        </w:rPr>
        <w:t>引言</w:t>
      </w:r>
    </w:p>
    <w:p w:rsidR="00EB314D" w:rsidRDefault="00F100E7">
      <w:pPr>
        <w:spacing w:line="360" w:lineRule="auto"/>
        <w:ind w:firstLine="480"/>
        <w:rPr>
          <w:rFonts w:ascii="宋体" w:hAnsi="宋体"/>
          <w:b/>
          <w:sz w:val="24"/>
          <w:szCs w:val="24"/>
        </w:rPr>
      </w:pPr>
      <w:r>
        <w:rPr>
          <w:rFonts w:ascii="宋体" w:hAnsi="宋体" w:hint="eastAsia"/>
          <w:sz w:val="24"/>
          <w:szCs w:val="24"/>
        </w:rPr>
        <w:t>新兴的产业或部门是新技术应用化的结果，新技术和新产业在空间上可以分离，新技术在世界一个地方出现，但可能在世界另一个地方形成新产业。在新兴产业的形成过程中，往往是由颠覆性技术引领的变轨创新，没有定型的设备、服务、相关技术和产品，上下游和整个系统都缺乏参照物，整个产业中相关的标准一片空白，沿原有技术轨道形成的标准对新技术来说是“锁定”的，</w:t>
      </w:r>
      <w:r>
        <w:rPr>
          <w:rFonts w:ascii="宋体" w:hAnsi="宋体" w:hint="eastAsia"/>
          <w:sz w:val="24"/>
          <w:szCs w:val="24"/>
        </w:rPr>
        <w:lastRenderedPageBreak/>
        <w:t>因此原有的体系对它具有排斥效应。在新产业形成中，技术呈交叉综合态势，标准的出台及应用是至关重要的因素。生产方式正在随着工业</w:t>
      </w:r>
      <w:r>
        <w:rPr>
          <w:rFonts w:ascii="宋体" w:hAnsi="宋体" w:hint="eastAsia"/>
          <w:sz w:val="24"/>
          <w:szCs w:val="24"/>
        </w:rPr>
        <w:t>IT</w:t>
      </w:r>
      <w:r>
        <w:rPr>
          <w:rFonts w:ascii="宋体" w:hAnsi="宋体" w:hint="eastAsia"/>
          <w:sz w:val="24"/>
          <w:szCs w:val="24"/>
        </w:rPr>
        <w:t>和软件技术的应用而发生根本性的改变，除了产业链各环</w:t>
      </w:r>
      <w:r>
        <w:rPr>
          <w:rFonts w:ascii="宋体" w:hAnsi="宋体" w:hint="eastAsia"/>
          <w:sz w:val="24"/>
          <w:szCs w:val="24"/>
        </w:rPr>
        <w:t>节纵向集成，从设计、生产、组装、分销、销售到服务的业务流程间横向集成也越来越普遍。产品种类的增加和研发周期缩短成为所有行业普遍的发展趋势。研发周期短，技术指标变化非常快，已有标准体系不能很好地支撑产业技术发展。新兴产业的技术融合度和技术复杂度较高，技术标准和产品标准的快速形成对新兴产业发展至关重要，但处于初创期的产业技术标准和产品标准都处于动荡期，往往存在多个产业技术标准和产品标准；跨领域技术的开发与集成是产业创新非常重要的生长点，比如增材制造技术的应用，就需要整合集成多学科领域的技术，例如信息、精密机械和</w:t>
      </w:r>
      <w:r>
        <w:rPr>
          <w:rFonts w:ascii="宋体" w:hAnsi="宋体" w:hint="eastAsia"/>
          <w:sz w:val="24"/>
          <w:szCs w:val="24"/>
        </w:rPr>
        <w:t>材料学等三大技术。为了统一标准，最大化技术创新的市场化收益，避免不同标准之间的竞争和重复投资，需要产业技术创新支撑体系中各类行为主体共同参与完成产业技术标准的制定和实施。</w:t>
      </w:r>
    </w:p>
    <w:p w:rsidR="00EB314D" w:rsidRDefault="00F100E7">
      <w:pPr>
        <w:spacing w:line="360" w:lineRule="auto"/>
        <w:ind w:firstLine="480"/>
        <w:rPr>
          <w:rFonts w:ascii="宋体" w:hAnsi="宋体"/>
          <w:b/>
          <w:sz w:val="24"/>
          <w:szCs w:val="24"/>
        </w:rPr>
      </w:pPr>
      <w:r>
        <w:rPr>
          <w:rFonts w:ascii="宋体" w:hAnsi="宋体" w:hint="eastAsia"/>
          <w:sz w:val="24"/>
          <w:szCs w:val="24"/>
        </w:rPr>
        <w:t>我国现有标准体系在新兴产业形成中无法及时有效地供给新标准。《标准法》和《标准化法实施条例》发布于二三十年之前，是改革开放初期阶段的产物，其规范下的国家、地方、行业、企业四级标准体系，目前已不能满足新形势发展的需要。在现有的标准体系下，标准的制定程序时间较长，如国家标准的制定需历经</w:t>
      </w:r>
      <w:r>
        <w:rPr>
          <w:rFonts w:ascii="宋体" w:hAnsi="宋体" w:hint="eastAsia"/>
          <w:sz w:val="24"/>
          <w:szCs w:val="24"/>
        </w:rPr>
        <w:t>9</w:t>
      </w:r>
      <w:r>
        <w:rPr>
          <w:rFonts w:ascii="宋体" w:hAnsi="宋体" w:hint="eastAsia"/>
          <w:sz w:val="24"/>
          <w:szCs w:val="24"/>
        </w:rPr>
        <w:t>个阶段：预阶段、立项、起草、征求意见、审查、批准、出版、复</w:t>
      </w:r>
      <w:r>
        <w:rPr>
          <w:rFonts w:ascii="宋体" w:hAnsi="宋体" w:hint="eastAsia"/>
          <w:sz w:val="24"/>
          <w:szCs w:val="24"/>
        </w:rPr>
        <w:t>审、废止阶段，平均耗时</w:t>
      </w:r>
      <w:r>
        <w:rPr>
          <w:rFonts w:ascii="宋体" w:hAnsi="宋体" w:hint="eastAsia"/>
          <w:sz w:val="24"/>
          <w:szCs w:val="24"/>
        </w:rPr>
        <w:t>3</w:t>
      </w:r>
      <w:r>
        <w:rPr>
          <w:rFonts w:ascii="宋体" w:hAnsi="宋体" w:hint="eastAsia"/>
          <w:sz w:val="24"/>
          <w:szCs w:val="24"/>
        </w:rPr>
        <w:t>年左右，标准经批准后，要发布、印制、征订，又需要</w:t>
      </w:r>
      <w:r>
        <w:rPr>
          <w:rFonts w:ascii="宋体" w:hAnsi="宋体" w:hint="eastAsia"/>
          <w:sz w:val="24"/>
          <w:szCs w:val="24"/>
        </w:rPr>
        <w:t>2</w:t>
      </w:r>
      <w:r>
        <w:rPr>
          <w:rFonts w:ascii="宋体" w:hAnsi="宋体" w:hint="eastAsia"/>
          <w:sz w:val="24"/>
          <w:szCs w:val="24"/>
        </w:rPr>
        <w:t>年左右的时间。标准的更新速度节奏缓慢，标龄比发达国家高出一倍以上。现有行业标准，基于产业的一般发展水平而制定，具有普适性特征，制定周期较长，滞后于新兴产业的发展。根据《</w:t>
      </w:r>
      <w:hyperlink r:id="rId5" w:history="1">
        <w:r>
          <w:rPr>
            <w:rFonts w:ascii="宋体" w:hAnsi="宋体" w:hint="eastAsia"/>
            <w:sz w:val="24"/>
            <w:szCs w:val="24"/>
          </w:rPr>
          <w:t>中华人民共和国标准化法</w:t>
        </w:r>
      </w:hyperlink>
      <w:r>
        <w:rPr>
          <w:rFonts w:ascii="宋体" w:hAnsi="宋体" w:hint="eastAsia"/>
          <w:sz w:val="24"/>
          <w:szCs w:val="24"/>
        </w:rPr>
        <w:t>》的规定：“由我国各主管部、委（局）批准发布，在该部门范围内统一使用的标准，称为行业标准”。“行业标准是对没有</w:t>
      </w:r>
      <w:hyperlink r:id="rId6" w:history="1">
        <w:r>
          <w:rPr>
            <w:rFonts w:ascii="宋体" w:hAnsi="宋体" w:hint="eastAsia"/>
            <w:sz w:val="24"/>
            <w:szCs w:val="24"/>
          </w:rPr>
          <w:t>国家标准</w:t>
        </w:r>
      </w:hyperlink>
      <w:r>
        <w:rPr>
          <w:rFonts w:ascii="宋体" w:hAnsi="宋体" w:hint="eastAsia"/>
          <w:sz w:val="24"/>
          <w:szCs w:val="24"/>
        </w:rPr>
        <w:t>而又需要在全国某个行业范围内统一的技术要求所制定的标准。”一些大类行业如机械、建筑、电子、冶金、化工、轻工、交通、纺织、能源、农业、林业、水利等等，都拥有行业标准。现在有些行业是标准先行，先有企业标准，再上升到行业标准，在技术种类多、更新快、产业竞争激烈的行业，往往是技术标准先行。技术标准在产业技术发展中具有先导性。如智能电网、健康服务、纳米技术、网络安全等领域，标准发展面临着新的挑战，行业内的标准已经无法满足需求，必须依赖</w:t>
      </w:r>
      <w:r>
        <w:rPr>
          <w:rFonts w:ascii="宋体" w:hAnsi="宋体" w:hint="eastAsia"/>
          <w:sz w:val="24"/>
          <w:szCs w:val="24"/>
        </w:rPr>
        <w:t>产</w:t>
      </w:r>
      <w:r>
        <w:rPr>
          <w:rFonts w:ascii="宋体" w:hAnsi="宋体" w:hint="eastAsia"/>
          <w:sz w:val="24"/>
          <w:szCs w:val="24"/>
        </w:rPr>
        <w:lastRenderedPageBreak/>
        <w:t>业间跨部门跨领域合作。</w:t>
      </w:r>
    </w:p>
    <w:p w:rsidR="00EB314D" w:rsidRDefault="00F100E7">
      <w:pPr>
        <w:spacing w:line="360" w:lineRule="auto"/>
        <w:ind w:firstLine="480"/>
        <w:rPr>
          <w:rFonts w:ascii="宋体" w:hAnsi="宋体"/>
          <w:sz w:val="24"/>
          <w:szCs w:val="24"/>
        </w:rPr>
      </w:pPr>
      <w:r>
        <w:rPr>
          <w:rFonts w:ascii="宋体" w:hAnsi="宋体" w:hint="eastAsia"/>
          <w:sz w:val="24"/>
          <w:szCs w:val="24"/>
        </w:rPr>
        <w:t>联盟是在某一行业产业链上企业之间形成的“联合体”，能够有效开展合作技术创新，快速反应并满足产业及时的标准化需求，具备一定的能力，运用标准来带动产业特别是新兴产业的发展。本文在分析联盟标准的定义和内涵基础上，选择多种联盟中的一类联盟——产业技术创新战略联盟，探讨其在新兴产业形成中开展标准的理论依据和作用，并提出相应的支持建议。</w:t>
      </w:r>
    </w:p>
    <w:p w:rsidR="00EB314D" w:rsidRDefault="00F100E7">
      <w:pPr>
        <w:spacing w:line="360" w:lineRule="auto"/>
        <w:ind w:firstLine="562"/>
        <w:rPr>
          <w:rFonts w:ascii="黑体" w:eastAsia="黑体" w:hAnsi="黑体"/>
          <w:b/>
          <w:sz w:val="28"/>
          <w:szCs w:val="28"/>
        </w:rPr>
      </w:pPr>
      <w:r>
        <w:rPr>
          <w:rFonts w:ascii="黑体" w:eastAsia="黑体" w:hAnsi="黑体" w:hint="eastAsia"/>
          <w:b/>
          <w:sz w:val="28"/>
          <w:szCs w:val="28"/>
        </w:rPr>
        <w:t>2.</w:t>
      </w:r>
      <w:r>
        <w:rPr>
          <w:rFonts w:ascii="黑体" w:eastAsia="黑体" w:hAnsi="黑体" w:hint="eastAsia"/>
          <w:b/>
          <w:sz w:val="28"/>
          <w:szCs w:val="28"/>
        </w:rPr>
        <w:t>关于产业技术创新战略联盟标准内涵的已有研究</w:t>
      </w:r>
    </w:p>
    <w:p w:rsidR="00EB314D" w:rsidRDefault="00F100E7">
      <w:pPr>
        <w:spacing w:line="360" w:lineRule="auto"/>
        <w:ind w:firstLine="480"/>
        <w:rPr>
          <w:rFonts w:ascii="宋体" w:hAnsi="宋体"/>
          <w:sz w:val="24"/>
          <w:szCs w:val="24"/>
        </w:rPr>
      </w:pPr>
      <w:r>
        <w:rPr>
          <w:rFonts w:ascii="宋体" w:hAnsi="宋体"/>
          <w:sz w:val="24"/>
          <w:szCs w:val="24"/>
        </w:rPr>
        <w:t>关于标准</w:t>
      </w:r>
      <w:r>
        <w:rPr>
          <w:rFonts w:ascii="宋体" w:hAnsi="宋体" w:hint="eastAsia"/>
          <w:sz w:val="24"/>
          <w:szCs w:val="24"/>
        </w:rPr>
        <w:t>，</w:t>
      </w:r>
      <w:r>
        <w:rPr>
          <w:rFonts w:ascii="宋体" w:hAnsi="宋体"/>
          <w:sz w:val="24"/>
          <w:szCs w:val="24"/>
        </w:rPr>
        <w:t>组织和法规都给出了明确的定义</w:t>
      </w:r>
      <w:r>
        <w:rPr>
          <w:rFonts w:ascii="宋体" w:hAnsi="宋体" w:hint="eastAsia"/>
          <w:sz w:val="24"/>
          <w:szCs w:val="24"/>
        </w:rPr>
        <w:t>。</w:t>
      </w:r>
      <w:r>
        <w:rPr>
          <w:rFonts w:ascii="宋体" w:hAnsi="宋体"/>
          <w:sz w:val="24"/>
          <w:szCs w:val="24"/>
        </w:rPr>
        <w:t>国际标准化组织（</w:t>
      </w:r>
      <w:r>
        <w:rPr>
          <w:rFonts w:ascii="宋体" w:hAnsi="宋体"/>
          <w:sz w:val="24"/>
          <w:szCs w:val="24"/>
        </w:rPr>
        <w:t>ISO</w:t>
      </w:r>
      <w:r>
        <w:rPr>
          <w:rFonts w:ascii="宋体" w:hAnsi="宋体"/>
          <w:sz w:val="24"/>
          <w:szCs w:val="24"/>
        </w:rPr>
        <w:t>）下设的</w:t>
      </w:r>
      <w:hyperlink r:id="rId7" w:history="1">
        <w:r>
          <w:rPr>
            <w:rFonts w:ascii="宋体" w:hAnsi="宋体"/>
            <w:sz w:val="24"/>
            <w:szCs w:val="24"/>
          </w:rPr>
          <w:t>国家标准化管理委员会</w:t>
        </w:r>
      </w:hyperlink>
      <w:r>
        <w:rPr>
          <w:rFonts w:ascii="宋体" w:hAnsi="宋体"/>
          <w:sz w:val="24"/>
          <w:szCs w:val="24"/>
        </w:rPr>
        <w:t>（</w:t>
      </w:r>
      <w:r>
        <w:rPr>
          <w:rFonts w:ascii="宋体" w:hAnsi="宋体"/>
          <w:sz w:val="24"/>
          <w:szCs w:val="24"/>
        </w:rPr>
        <w:t>STACO</w:t>
      </w:r>
      <w:r>
        <w:rPr>
          <w:rFonts w:ascii="宋体" w:hAnsi="宋体"/>
          <w:sz w:val="24"/>
          <w:szCs w:val="24"/>
        </w:rPr>
        <w:t>）</w:t>
      </w:r>
      <w:r>
        <w:rPr>
          <w:rFonts w:ascii="宋体" w:hAnsi="宋体" w:hint="eastAsia"/>
          <w:sz w:val="24"/>
          <w:szCs w:val="24"/>
        </w:rPr>
        <w:t>认为</w:t>
      </w:r>
      <w:r>
        <w:rPr>
          <w:rFonts w:ascii="宋体" w:hAnsi="宋体"/>
          <w:sz w:val="24"/>
          <w:szCs w:val="24"/>
        </w:rPr>
        <w:t>“</w:t>
      </w:r>
      <w:r>
        <w:rPr>
          <w:rFonts w:ascii="宋体" w:hAnsi="宋体"/>
          <w:sz w:val="24"/>
          <w:szCs w:val="24"/>
        </w:rPr>
        <w:t>标准</w:t>
      </w:r>
      <w:r>
        <w:rPr>
          <w:rFonts w:ascii="宋体" w:hAnsi="宋体"/>
          <w:sz w:val="24"/>
          <w:szCs w:val="24"/>
        </w:rPr>
        <w:t>”</w:t>
      </w:r>
      <w:r>
        <w:rPr>
          <w:rFonts w:ascii="宋体" w:hAnsi="宋体"/>
          <w:sz w:val="24"/>
          <w:szCs w:val="24"/>
        </w:rPr>
        <w:t>的定义</w:t>
      </w:r>
      <w:r>
        <w:rPr>
          <w:rFonts w:ascii="宋体" w:hAnsi="宋体" w:hint="eastAsia"/>
          <w:sz w:val="24"/>
          <w:szCs w:val="24"/>
        </w:rPr>
        <w:t>“</w:t>
      </w:r>
      <w:r>
        <w:rPr>
          <w:rFonts w:ascii="宋体" w:hAnsi="宋体"/>
          <w:sz w:val="24"/>
          <w:szCs w:val="24"/>
        </w:rPr>
        <w:t>是由一个公认的机构制定和批</w:t>
      </w:r>
      <w:hyperlink r:id="rId8" w:history="1">
        <w:r>
          <w:rPr>
            <w:rFonts w:ascii="宋体" w:hAnsi="宋体"/>
            <w:sz w:val="24"/>
            <w:szCs w:val="24"/>
          </w:rPr>
          <w:t>准的</w:t>
        </w:r>
      </w:hyperlink>
      <w:r>
        <w:rPr>
          <w:rFonts w:ascii="宋体" w:hAnsi="宋体"/>
          <w:sz w:val="24"/>
          <w:szCs w:val="24"/>
        </w:rPr>
        <w:t>文件。它对活动或活动的结果规定了规则、导则或特殊值，供共同和反复使用，以实现在预定领域内最佳秩序的</w:t>
      </w:r>
      <w:hyperlink r:id="rId9" w:history="1">
        <w:r>
          <w:rPr>
            <w:rFonts w:ascii="宋体" w:hAnsi="宋体"/>
            <w:sz w:val="24"/>
            <w:szCs w:val="24"/>
          </w:rPr>
          <w:t>效果</w:t>
        </w:r>
      </w:hyperlink>
      <w:r>
        <w:rPr>
          <w:rFonts w:ascii="宋体" w:hAnsi="宋体"/>
          <w:sz w:val="24"/>
          <w:szCs w:val="24"/>
        </w:rPr>
        <w:t>。</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根据《</w:t>
      </w:r>
      <w:r>
        <w:rPr>
          <w:rFonts w:ascii="宋体" w:hAnsi="宋体" w:hint="eastAsia"/>
          <w:sz w:val="24"/>
          <w:szCs w:val="24"/>
        </w:rPr>
        <w:t>中华人民共和国标准化法条文解释》，“标准”的含义是，“对重复性事物和概念所作的统一规定。它以科学、技术和实践经验的综合成果为基础，经有关方面协商一致，由主管机构批准，以特定形式发布，作为共同遵守的准则和依据。”标准是协同的结果，是协同创新技术成果的外在表现。根据</w:t>
      </w:r>
      <w:r>
        <w:rPr>
          <w:rFonts w:ascii="宋体" w:hAnsi="宋体" w:hint="eastAsia"/>
          <w:sz w:val="24"/>
          <w:szCs w:val="24"/>
        </w:rPr>
        <w:t>GB/T20000.1-2014</w:t>
      </w:r>
      <w:r>
        <w:rPr>
          <w:rFonts w:ascii="宋体" w:hAnsi="宋体" w:hint="eastAsia"/>
          <w:sz w:val="24"/>
          <w:szCs w:val="24"/>
        </w:rPr>
        <w:t>《标准化和相关活动的通用术语》的规定，“标准（</w:t>
      </w:r>
      <w:r>
        <w:rPr>
          <w:rFonts w:ascii="宋体" w:hAnsi="宋体" w:hint="eastAsia"/>
          <w:sz w:val="24"/>
          <w:szCs w:val="24"/>
        </w:rPr>
        <w:t>standard</w:t>
      </w:r>
      <w:r>
        <w:rPr>
          <w:rFonts w:ascii="宋体" w:hAnsi="宋体" w:hint="eastAsia"/>
          <w:sz w:val="24"/>
          <w:szCs w:val="24"/>
        </w:rPr>
        <w:t>）是通过标准化活动，按照规定的程序经协商一致制定，为各种活动或其结果提供规则、指南或特性，供共同使用和重复使用的文件。”</w:t>
      </w:r>
      <w:r>
        <w:rPr>
          <w:rFonts w:ascii="宋体" w:hAnsi="宋体"/>
          <w:sz w:val="24"/>
          <w:szCs w:val="24"/>
        </w:rPr>
        <w:t>国家标准</w:t>
      </w:r>
      <w:r>
        <w:rPr>
          <w:rFonts w:ascii="宋体" w:hAnsi="宋体"/>
          <w:sz w:val="24"/>
          <w:szCs w:val="24"/>
        </w:rPr>
        <w:t>GB/T 3935.1—83</w:t>
      </w:r>
      <w:r>
        <w:rPr>
          <w:rFonts w:ascii="宋体" w:hAnsi="宋体"/>
          <w:sz w:val="24"/>
          <w:szCs w:val="24"/>
        </w:rPr>
        <w:t>给出的定义是：</w:t>
      </w:r>
      <w:r>
        <w:rPr>
          <w:rFonts w:ascii="宋体" w:hAnsi="宋体"/>
          <w:sz w:val="24"/>
          <w:szCs w:val="24"/>
        </w:rPr>
        <w:t>“</w:t>
      </w:r>
      <w:r>
        <w:rPr>
          <w:rFonts w:ascii="宋体" w:hAnsi="宋体"/>
          <w:sz w:val="24"/>
          <w:szCs w:val="24"/>
        </w:rPr>
        <w:t>标准是对重复性事物和概念所做的统一规定，它以科学、技术和实践经验的综合为基础，经过有关方面协商一致，由主管机构批准，以特定的形式发布，作为共同遵守的准则和依据</w:t>
      </w:r>
      <w:r>
        <w:rPr>
          <w:rFonts w:ascii="宋体" w:hAnsi="宋体"/>
          <w:sz w:val="24"/>
          <w:szCs w:val="24"/>
        </w:rPr>
        <w:t>”</w:t>
      </w:r>
      <w:r>
        <w:rPr>
          <w:rFonts w:ascii="宋体" w:hAnsi="宋体"/>
          <w:sz w:val="24"/>
          <w:szCs w:val="24"/>
        </w:rPr>
        <w:t>。</w:t>
      </w:r>
    </w:p>
    <w:p w:rsidR="00EB314D" w:rsidRDefault="00F100E7">
      <w:pPr>
        <w:spacing w:line="360" w:lineRule="auto"/>
        <w:ind w:firstLine="480"/>
        <w:rPr>
          <w:rFonts w:ascii="宋体" w:hAnsi="宋体"/>
          <w:sz w:val="24"/>
          <w:szCs w:val="24"/>
        </w:rPr>
      </w:pPr>
      <w:r>
        <w:rPr>
          <w:rFonts w:ascii="宋体" w:hAnsi="宋体" w:hint="eastAsia"/>
          <w:sz w:val="24"/>
          <w:szCs w:val="24"/>
        </w:rPr>
        <w:t>根据以上定义，标准的核心本质可归纳为三点：其一，在一定范围内使用；其二，是依照规定程序，主体协商一致的结果；其三，由公认的机构制定和批准。</w:t>
      </w:r>
    </w:p>
    <w:p w:rsidR="00EB314D" w:rsidRDefault="00F100E7">
      <w:pPr>
        <w:spacing w:line="360" w:lineRule="auto"/>
        <w:ind w:firstLine="480"/>
        <w:rPr>
          <w:rFonts w:ascii="宋体" w:hAnsi="宋体"/>
          <w:sz w:val="24"/>
          <w:szCs w:val="24"/>
        </w:rPr>
      </w:pPr>
      <w:r>
        <w:rPr>
          <w:rFonts w:ascii="宋体" w:hAnsi="宋体" w:hint="eastAsia"/>
          <w:sz w:val="24"/>
          <w:szCs w:val="24"/>
        </w:rPr>
        <w:t>随着联盟实践活动的开展，我国部分学者对联盟与标准问题开展了一些相关研究，涉及联盟标准的概念和作用等主题。关于联盟标准的概念，当前有几种观点，如有些学者认为联盟标准是区域聚集或块状产业内的多个企</w:t>
      </w:r>
      <w:r>
        <w:rPr>
          <w:rFonts w:ascii="宋体" w:hAnsi="宋体" w:hint="eastAsia"/>
          <w:sz w:val="24"/>
          <w:szCs w:val="24"/>
        </w:rPr>
        <w:t>业，为了共同目的，实现局部最佳次序和最大利益，共同制定并自愿实施的标准。</w:t>
      </w:r>
      <w:r>
        <w:rPr>
          <w:rFonts w:ascii="宋体" w:hAnsi="宋体" w:hint="eastAsia"/>
          <w:sz w:val="24"/>
          <w:szCs w:val="24"/>
          <w:vertAlign w:val="superscript"/>
        </w:rPr>
        <w:t>[1]-[3]</w:t>
      </w:r>
      <w:r>
        <w:rPr>
          <w:rFonts w:ascii="宋体" w:hAnsi="宋体" w:hint="eastAsia"/>
          <w:sz w:val="24"/>
          <w:szCs w:val="24"/>
        </w:rPr>
        <w:t>有的观点认为是由多个企业组成的产业联盟共同制定实施的标准，“所谓的产业</w:t>
      </w:r>
      <w:r>
        <w:rPr>
          <w:rFonts w:ascii="宋体" w:hAnsi="宋体" w:hint="eastAsia"/>
          <w:sz w:val="24"/>
          <w:szCs w:val="24"/>
        </w:rPr>
        <w:lastRenderedPageBreak/>
        <w:t>联盟标准是指与某项技术、产品有关的研发、制造、应用厂商自愿参加，联合起来、组成产业联盟，对该项技术进行研发、验证、生产和应用。”</w:t>
      </w:r>
      <w:r>
        <w:rPr>
          <w:rFonts w:ascii="宋体" w:hAnsi="宋体" w:hint="eastAsia"/>
          <w:sz w:val="24"/>
          <w:szCs w:val="24"/>
          <w:vertAlign w:val="superscript"/>
        </w:rPr>
        <w:t>[4]</w:t>
      </w:r>
      <w:r>
        <w:rPr>
          <w:rFonts w:ascii="宋体" w:hAnsi="宋体" w:hint="eastAsia"/>
          <w:sz w:val="24"/>
          <w:szCs w:val="24"/>
        </w:rPr>
        <w:t>有些学者认为，联盟标准应该包括更宽泛的内容，目前实践中主要是技术标准和产品标准，应该扩展到管理标准、服务标准。</w:t>
      </w:r>
      <w:r>
        <w:rPr>
          <w:rFonts w:ascii="宋体" w:hAnsi="宋体" w:hint="eastAsia"/>
          <w:sz w:val="24"/>
          <w:szCs w:val="24"/>
          <w:vertAlign w:val="superscript"/>
        </w:rPr>
        <w:t>[5]</w:t>
      </w:r>
      <w:r>
        <w:rPr>
          <w:rFonts w:ascii="宋体" w:hAnsi="宋体" w:hint="eastAsia"/>
          <w:sz w:val="24"/>
          <w:szCs w:val="24"/>
        </w:rPr>
        <w:t>有些学者则把联盟标准混同为企业标准，“在我国四级标准体系中，通常把联盟标准看成是一种企业标准的升级形式，或</w:t>
      </w:r>
      <w:r>
        <w:rPr>
          <w:rFonts w:ascii="宋体" w:hAnsi="宋体" w:hint="eastAsia"/>
          <w:sz w:val="24"/>
          <w:szCs w:val="24"/>
        </w:rPr>
        <w:t>者说是企业标准的扩展形式。”</w:t>
      </w:r>
      <w:r>
        <w:rPr>
          <w:rFonts w:ascii="宋体" w:hAnsi="宋体" w:hint="eastAsia"/>
          <w:sz w:val="24"/>
          <w:szCs w:val="24"/>
          <w:vertAlign w:val="superscript"/>
        </w:rPr>
        <w:t>[6]</w:t>
      </w:r>
      <w:r>
        <w:rPr>
          <w:rFonts w:ascii="宋体" w:hAnsi="宋体" w:hint="eastAsia"/>
          <w:sz w:val="24"/>
          <w:szCs w:val="24"/>
        </w:rPr>
        <w:t>有些研究则讨论了技术标准联盟的作用。这些工作拉开了联盟标准研究的序幕。</w:t>
      </w:r>
    </w:p>
    <w:p w:rsidR="00EB314D" w:rsidRDefault="00F100E7">
      <w:pPr>
        <w:spacing w:line="360" w:lineRule="auto"/>
        <w:ind w:firstLine="480"/>
        <w:rPr>
          <w:rFonts w:ascii="宋体" w:hAnsi="宋体"/>
          <w:sz w:val="24"/>
          <w:szCs w:val="24"/>
        </w:rPr>
      </w:pPr>
      <w:r>
        <w:rPr>
          <w:rFonts w:ascii="宋体" w:hAnsi="宋体" w:hint="eastAsia"/>
          <w:sz w:val="24"/>
          <w:szCs w:val="24"/>
        </w:rPr>
        <w:t>在已有的研究中，对联盟标准的概念界定不清晰，甚至是相互冲突和矛盾的，有些则是一家之言，研究结论缺乏一般性。从学术界来看，对联盟标准的全面深入研究目前还不足，如联盟标准的类型、联盟标准的行业差异性，联盟标准化的机制，在这些方面的研究尚无定论，研究结论也比较混乱，不成系统。</w:t>
      </w:r>
    </w:p>
    <w:p w:rsidR="00EB314D" w:rsidRDefault="00F100E7">
      <w:pPr>
        <w:spacing w:line="360" w:lineRule="auto"/>
        <w:ind w:firstLine="480"/>
        <w:rPr>
          <w:rFonts w:ascii="宋体" w:hAnsi="宋体"/>
          <w:sz w:val="24"/>
          <w:szCs w:val="24"/>
        </w:rPr>
      </w:pPr>
      <w:r>
        <w:rPr>
          <w:rFonts w:ascii="宋体" w:hAnsi="宋体" w:hint="eastAsia"/>
          <w:sz w:val="24"/>
          <w:szCs w:val="24"/>
        </w:rPr>
        <w:t>本文认为，联盟标准完全契合技术标准的核心本质。联盟标准适用于联盟范围之内，在特定的领域发挥作用；按照联盟确定的程序，经过联盟成员之间协</w:t>
      </w:r>
      <w:r>
        <w:rPr>
          <w:rFonts w:ascii="宋体" w:hAnsi="宋体" w:hint="eastAsia"/>
          <w:sz w:val="24"/>
          <w:szCs w:val="24"/>
        </w:rPr>
        <w:t>商，取得一致；联盟标准由联盟理事会或理事会授权的标准委员会制定和批准，联盟理事会或标准委员会是联盟成员公认的机构。由此，我们可定义产业技术创新战略联盟标准：是为了在产业技术创新战略联盟范围内获得最佳的秩序，经产业技术创新战略联盟成员按照规定的程序共同协商一致，由产业技术创新战略联盟理事会或理事会授权成立的标准委员会制定并批准，为所在产业领域的产业技术创新活动提供规则或指南，在联盟范围内共同和重复使用的一种规范性文件。</w:t>
      </w:r>
    </w:p>
    <w:p w:rsidR="00EB314D" w:rsidRDefault="00F100E7">
      <w:pPr>
        <w:spacing w:line="360" w:lineRule="auto"/>
        <w:ind w:firstLine="480"/>
        <w:rPr>
          <w:rFonts w:ascii="宋体" w:hAnsi="宋体"/>
          <w:sz w:val="24"/>
          <w:szCs w:val="24"/>
        </w:rPr>
      </w:pPr>
      <w:r>
        <w:rPr>
          <w:rFonts w:ascii="宋体" w:hAnsi="宋体" w:hint="eastAsia"/>
          <w:sz w:val="24"/>
          <w:szCs w:val="24"/>
        </w:rPr>
        <w:t>在类型上，产业技术创新战略联盟标准可以分为强制性联盟标准和推荐性联盟标准。在联盟范围内，所</w:t>
      </w:r>
      <w:r>
        <w:rPr>
          <w:rFonts w:ascii="宋体" w:hAnsi="宋体" w:hint="eastAsia"/>
          <w:sz w:val="24"/>
          <w:szCs w:val="24"/>
        </w:rPr>
        <w:t>有联盟企业成员都必须执行的联盟标准，属于强制性标准；推荐性标准适用于两层范围：在联盟范围内，鼓励联盟成员采用，但并不强制采用；在联盟范围之外，推荐行业采用联盟标准。</w:t>
      </w:r>
    </w:p>
    <w:p w:rsidR="00EB314D" w:rsidRDefault="00F100E7">
      <w:pPr>
        <w:spacing w:line="360" w:lineRule="auto"/>
        <w:ind w:firstLine="480"/>
        <w:rPr>
          <w:rFonts w:ascii="宋体" w:hAnsi="宋体"/>
          <w:sz w:val="24"/>
          <w:szCs w:val="24"/>
        </w:rPr>
      </w:pPr>
      <w:r>
        <w:rPr>
          <w:rFonts w:ascii="宋体" w:hAnsi="宋体" w:hint="eastAsia"/>
          <w:sz w:val="24"/>
          <w:szCs w:val="24"/>
        </w:rPr>
        <w:t>联盟标准反映集成的技术，它的所有者、使用者和管理者可能分属不同的主体，可能有多个所有者，也有多个使用者，管理者也可能不是法人，标准的产生、制定、实施，无不反映着各个利益相关主体之间的合作与冲突。正是由于联盟标准的这种权益与载体的分离特征，导致联盟标准从制定到实施都与企业标准具有很大差异，在现有标准体系中尽管可以归类为团体标准，但由于联</w:t>
      </w:r>
      <w:r>
        <w:rPr>
          <w:rFonts w:ascii="宋体" w:hAnsi="宋体" w:hint="eastAsia"/>
          <w:sz w:val="24"/>
          <w:szCs w:val="24"/>
        </w:rPr>
        <w:lastRenderedPageBreak/>
        <w:t>盟的技术创</w:t>
      </w:r>
      <w:r>
        <w:rPr>
          <w:rFonts w:ascii="宋体" w:hAnsi="宋体" w:hint="eastAsia"/>
          <w:sz w:val="24"/>
          <w:szCs w:val="24"/>
        </w:rPr>
        <w:t>新排头兵性质，而且大多数联盟没有法律实体，因此，联盟标准有别于社会团体标准。</w:t>
      </w:r>
    </w:p>
    <w:p w:rsidR="00EB314D" w:rsidRDefault="00F100E7">
      <w:pPr>
        <w:spacing w:line="360" w:lineRule="auto"/>
        <w:ind w:firstLine="482"/>
        <w:rPr>
          <w:rFonts w:ascii="黑体" w:eastAsia="黑体" w:hAnsi="黑体"/>
          <w:b/>
          <w:sz w:val="24"/>
          <w:szCs w:val="24"/>
        </w:rPr>
      </w:pPr>
      <w:r>
        <w:rPr>
          <w:rFonts w:ascii="黑体" w:eastAsia="黑体" w:hAnsi="黑体" w:hint="eastAsia"/>
          <w:b/>
          <w:sz w:val="24"/>
          <w:szCs w:val="24"/>
        </w:rPr>
        <w:t>3.</w:t>
      </w:r>
      <w:r>
        <w:rPr>
          <w:rFonts w:ascii="黑体" w:eastAsia="黑体" w:hAnsi="黑体" w:hint="eastAsia"/>
          <w:b/>
          <w:sz w:val="24"/>
          <w:szCs w:val="24"/>
        </w:rPr>
        <w:t>产业技术创新战略联盟标准符合法理</w:t>
      </w:r>
    </w:p>
    <w:p w:rsidR="00EB314D" w:rsidRDefault="00F100E7">
      <w:pPr>
        <w:spacing w:line="360" w:lineRule="auto"/>
        <w:ind w:firstLine="482"/>
        <w:rPr>
          <w:rFonts w:ascii="黑体" w:eastAsia="黑体" w:hAnsi="黑体"/>
          <w:b/>
          <w:sz w:val="24"/>
          <w:szCs w:val="24"/>
        </w:rPr>
      </w:pPr>
      <w:r>
        <w:rPr>
          <w:rFonts w:ascii="黑体" w:eastAsia="黑体" w:hAnsi="黑体" w:hint="eastAsia"/>
          <w:b/>
          <w:sz w:val="24"/>
          <w:szCs w:val="24"/>
        </w:rPr>
        <w:t>3.1</w:t>
      </w:r>
      <w:r>
        <w:rPr>
          <w:rFonts w:ascii="黑体" w:eastAsia="黑体" w:hAnsi="黑体" w:hint="eastAsia"/>
          <w:b/>
          <w:sz w:val="24"/>
          <w:szCs w:val="24"/>
        </w:rPr>
        <w:t>从公共政策角度看技术标准由联盟供给是最优的</w:t>
      </w:r>
    </w:p>
    <w:p w:rsidR="00EB314D" w:rsidRDefault="00F100E7">
      <w:pPr>
        <w:spacing w:line="360" w:lineRule="auto"/>
        <w:ind w:firstLine="480"/>
        <w:rPr>
          <w:rFonts w:ascii="宋体" w:hAnsi="宋体"/>
          <w:sz w:val="24"/>
          <w:szCs w:val="24"/>
        </w:rPr>
      </w:pPr>
      <w:r>
        <w:rPr>
          <w:rFonts w:ascii="宋体" w:hAnsi="宋体" w:hint="eastAsia"/>
          <w:sz w:val="24"/>
          <w:szCs w:val="24"/>
        </w:rPr>
        <w:t>从经济学视角来看，技术标准可归为公共物品，具有非竞争性和非排他性，可以被多人使用，一人使用不会减少其他人使用的份额；同时技术标准具有规模经济效应，标准使用的次数越多、范围越大，因兼容性和可交换性而使消费者和规制者的获益就越多。</w:t>
      </w:r>
      <w:r>
        <w:rPr>
          <w:rFonts w:ascii="宋体" w:hAnsi="宋体" w:hint="eastAsia"/>
          <w:sz w:val="24"/>
          <w:szCs w:val="24"/>
          <w:vertAlign w:val="superscript"/>
        </w:rPr>
        <w:t>[7]</w:t>
      </w:r>
    </w:p>
    <w:p w:rsidR="00EB314D" w:rsidRDefault="00F100E7">
      <w:pPr>
        <w:spacing w:line="360" w:lineRule="auto"/>
        <w:ind w:firstLine="480"/>
        <w:rPr>
          <w:rFonts w:ascii="宋体" w:hAnsi="宋体"/>
          <w:sz w:val="24"/>
          <w:szCs w:val="24"/>
        </w:rPr>
      </w:pPr>
      <w:r>
        <w:rPr>
          <w:rFonts w:ascii="宋体" w:hAnsi="宋体" w:hint="eastAsia"/>
          <w:sz w:val="24"/>
          <w:szCs w:val="24"/>
        </w:rPr>
        <w:t>从公共政策理论角度来看，有些情况下，政府适宜采用自我管制性政策进行规范。自我管制是被管制对象（个体或群体）进行自我控制的行为，主要不是靠政府的强制推动，而是靠个体或群体自愿实施规则来进行自我约束。在专业化较强的领域，政府缺乏能力，或者由政府主导的话成本比较高，此时适宜采用自我管制性政策。</w:t>
      </w:r>
      <w:r>
        <w:rPr>
          <w:rFonts w:ascii="宋体" w:hAnsi="宋体" w:hint="eastAsia"/>
          <w:sz w:val="24"/>
          <w:szCs w:val="24"/>
        </w:rPr>
        <w:t xml:space="preserve"> </w:t>
      </w:r>
    </w:p>
    <w:p w:rsidR="00EB314D" w:rsidRDefault="00F100E7">
      <w:pPr>
        <w:spacing w:line="360" w:lineRule="auto"/>
        <w:ind w:firstLine="480"/>
        <w:rPr>
          <w:rFonts w:ascii="宋体" w:hAnsi="宋体"/>
          <w:sz w:val="24"/>
          <w:szCs w:val="24"/>
        </w:rPr>
      </w:pPr>
      <w:r>
        <w:rPr>
          <w:rFonts w:ascii="宋体" w:hAnsi="宋体" w:hint="eastAsia"/>
          <w:sz w:val="24"/>
          <w:szCs w:val="24"/>
        </w:rPr>
        <w:t>技术标准是具有可重复性特征的技术事项在一定范围内的统一规定。由于技术要素、技术指标及其衍生的知识产权集于一体而成为标准，反过来说技术标准通常又是进一步创新的技术基础。由于技术和创新本身的复杂性、专业性、动态性等特点，决定</w:t>
      </w:r>
      <w:r>
        <w:rPr>
          <w:rFonts w:ascii="宋体" w:hAnsi="宋体" w:hint="eastAsia"/>
          <w:sz w:val="24"/>
          <w:szCs w:val="24"/>
        </w:rPr>
        <w:t>了对标准的公共政策应当以市场调节为主，以自我管制性政策为主，政府没有能力施加管制。如果依靠强制性标准的管理体系，可能造成滞后于产业发展需求的负面效应。特别在新兴产业领域，随着科学技术的日益交叉和融合，技术创新的规模、范围和速度不断扩大和加快，技术与市场的复杂性、不确定性不断提高，各类研究与创新主体功能的重新定位，相互之间的联系性和依赖性更加密切，其边界反而变得越加模糊。在很多技术领域，科技发展已改变了从研发到创新的线性模式，企业实验室也已无法孤立承担产业创新的职能。知识生产和运用更多地依赖利益相关者共同构建</w:t>
      </w:r>
      <w:r>
        <w:rPr>
          <w:rFonts w:ascii="宋体" w:hAnsi="宋体" w:hint="eastAsia"/>
          <w:sz w:val="24"/>
          <w:szCs w:val="24"/>
        </w:rPr>
        <w:t>的网络、多学科整合模式以及因应具体问题而实施的联系与互动。在这样的背景下，企业标准不能满足创新需求，由政府直接供给技术标准，一是协调困难，二则会大大滞后于创新发展的趋势和步伐。</w:t>
      </w:r>
    </w:p>
    <w:p w:rsidR="00EB314D" w:rsidRDefault="00F100E7">
      <w:pPr>
        <w:spacing w:line="360" w:lineRule="auto"/>
        <w:ind w:firstLine="480"/>
        <w:rPr>
          <w:rFonts w:ascii="宋体" w:hAnsi="宋体"/>
          <w:sz w:val="24"/>
          <w:szCs w:val="24"/>
        </w:rPr>
      </w:pPr>
      <w:r>
        <w:rPr>
          <w:rFonts w:ascii="宋体" w:hAnsi="宋体" w:hint="eastAsia"/>
          <w:sz w:val="24"/>
          <w:szCs w:val="24"/>
        </w:rPr>
        <w:t>根据公共政策理论，与其他类型的管制性政策相比，自我管制性政策的实施成本是最低的，但基本前提条件是要有较完善的市场信用制度以及具有约束</w:t>
      </w:r>
      <w:r>
        <w:rPr>
          <w:rFonts w:ascii="宋体" w:hAnsi="宋体" w:hint="eastAsia"/>
          <w:sz w:val="24"/>
          <w:szCs w:val="24"/>
        </w:rPr>
        <w:lastRenderedPageBreak/>
        <w:t>力的行业规范。尽管从全社会范围来看，社会信用制度和行业规范都不成熟、不完善，但是，在产业技术创新战略联盟范围内，这两个条件都是具备的，信用机制保证了成员间的彼此信任，而责任机制和利益机制使自我管制性政策</w:t>
      </w:r>
      <w:r>
        <w:rPr>
          <w:rFonts w:ascii="宋体" w:hAnsi="宋体" w:hint="eastAsia"/>
          <w:sz w:val="24"/>
          <w:szCs w:val="24"/>
        </w:rPr>
        <w:t>具备了约束的效力。</w:t>
      </w:r>
    </w:p>
    <w:p w:rsidR="00EB314D" w:rsidRDefault="00F100E7">
      <w:pPr>
        <w:spacing w:line="360" w:lineRule="auto"/>
        <w:ind w:firstLine="482"/>
        <w:rPr>
          <w:rFonts w:ascii="黑体" w:eastAsia="黑体" w:hAnsi="黑体"/>
          <w:b/>
          <w:sz w:val="24"/>
          <w:szCs w:val="24"/>
        </w:rPr>
      </w:pPr>
      <w:r>
        <w:rPr>
          <w:rFonts w:ascii="黑体" w:eastAsia="黑体" w:hAnsi="黑体" w:hint="eastAsia"/>
          <w:b/>
          <w:sz w:val="24"/>
          <w:szCs w:val="24"/>
        </w:rPr>
        <w:t>3.2</w:t>
      </w:r>
      <w:r>
        <w:rPr>
          <w:rFonts w:ascii="黑体" w:eastAsia="黑体" w:hAnsi="黑体" w:hint="eastAsia"/>
          <w:b/>
          <w:sz w:val="24"/>
          <w:szCs w:val="24"/>
        </w:rPr>
        <w:t>联盟标准在我国标准体系中具有合法性地位</w:t>
      </w:r>
    </w:p>
    <w:p w:rsidR="00EB314D" w:rsidRDefault="00F100E7">
      <w:pPr>
        <w:spacing w:line="360" w:lineRule="auto"/>
        <w:ind w:firstLine="480"/>
        <w:rPr>
          <w:rFonts w:ascii="宋体" w:hAnsi="宋体"/>
          <w:sz w:val="24"/>
          <w:szCs w:val="24"/>
        </w:rPr>
      </w:pPr>
      <w:r>
        <w:rPr>
          <w:rFonts w:ascii="宋体" w:hAnsi="宋体" w:hint="eastAsia"/>
          <w:sz w:val="24"/>
          <w:szCs w:val="24"/>
        </w:rPr>
        <w:t>在我国现有标准体系中，四级标准之外，并没有联盟标准。但是，在《中华人民共和国标准化法》第六条中，除了四类标准的提法，还为其他标准的法律地位留出了一定的合法性空间，“法律对标准的制定另有规定的，依照法律的规定执行。”在该法以及配套的《中华人民共和国标准化法实施条例》中，都提出要发挥协会、团体作用。“制定标准应当发挥行业协会、科学技术研究机构和学术团体的作用。”因此，即使不修改现行的标准相关的法律法规或条例，联盟标准仍然有存在的合法性空间。当前，</w:t>
      </w:r>
      <w:r>
        <w:rPr>
          <w:rFonts w:ascii="宋体" w:hAnsi="宋体" w:hint="eastAsia"/>
          <w:sz w:val="24"/>
          <w:szCs w:val="24"/>
        </w:rPr>
        <w:t>我国政府已经启动了标准管理体系的市场化改革，</w:t>
      </w:r>
      <w:r>
        <w:rPr>
          <w:rFonts w:ascii="宋体" w:hAnsi="宋体" w:hint="eastAsia"/>
          <w:sz w:val="24"/>
          <w:szCs w:val="24"/>
        </w:rPr>
        <w:t>2015</w:t>
      </w:r>
      <w:r>
        <w:rPr>
          <w:rFonts w:ascii="宋体" w:hAnsi="宋体" w:hint="eastAsia"/>
          <w:sz w:val="24"/>
          <w:szCs w:val="24"/>
        </w:rPr>
        <w:t>年</w:t>
      </w:r>
      <w:r>
        <w:rPr>
          <w:rFonts w:ascii="宋体" w:hAnsi="宋体" w:hint="eastAsia"/>
          <w:sz w:val="24"/>
          <w:szCs w:val="24"/>
        </w:rPr>
        <w:t>3</w:t>
      </w:r>
      <w:r>
        <w:rPr>
          <w:rFonts w:ascii="宋体" w:hAnsi="宋体" w:hint="eastAsia"/>
          <w:sz w:val="24"/>
          <w:szCs w:val="24"/>
        </w:rPr>
        <w:t>月</w:t>
      </w:r>
      <w:r>
        <w:rPr>
          <w:rFonts w:ascii="宋体" w:hAnsi="宋体" w:hint="eastAsia"/>
          <w:sz w:val="24"/>
          <w:szCs w:val="24"/>
        </w:rPr>
        <w:t>26</w:t>
      </w:r>
      <w:r>
        <w:rPr>
          <w:rFonts w:ascii="宋体" w:hAnsi="宋体" w:hint="eastAsia"/>
          <w:sz w:val="24"/>
          <w:szCs w:val="24"/>
        </w:rPr>
        <w:t>日，国务院发布了《关于印发深化标准化工作改革方案的通知》</w:t>
      </w:r>
      <w:r>
        <w:rPr>
          <w:rFonts w:ascii="宋体" w:hAnsi="宋体" w:hint="eastAsia"/>
          <w:sz w:val="24"/>
          <w:szCs w:val="24"/>
        </w:rPr>
        <w:t>(</w:t>
      </w:r>
      <w:r>
        <w:rPr>
          <w:rFonts w:ascii="宋体" w:hAnsi="宋体" w:hint="eastAsia"/>
          <w:sz w:val="24"/>
          <w:szCs w:val="24"/>
        </w:rPr>
        <w:t>国发〔</w:t>
      </w:r>
      <w:r>
        <w:rPr>
          <w:rFonts w:ascii="宋体" w:hAnsi="宋体" w:hint="eastAsia"/>
          <w:sz w:val="24"/>
          <w:szCs w:val="24"/>
        </w:rPr>
        <w:t>2015</w:t>
      </w:r>
      <w:r>
        <w:rPr>
          <w:rFonts w:ascii="宋体" w:hAnsi="宋体" w:hint="eastAsia"/>
          <w:sz w:val="24"/>
          <w:szCs w:val="24"/>
        </w:rPr>
        <w:t>〕</w:t>
      </w:r>
      <w:r>
        <w:rPr>
          <w:rFonts w:ascii="宋体" w:hAnsi="宋体" w:hint="eastAsia"/>
          <w:sz w:val="24"/>
          <w:szCs w:val="24"/>
        </w:rPr>
        <w:t>13</w:t>
      </w:r>
      <w:r>
        <w:rPr>
          <w:rFonts w:ascii="宋体" w:hAnsi="宋体" w:hint="eastAsia"/>
          <w:sz w:val="24"/>
          <w:szCs w:val="24"/>
        </w:rPr>
        <w:t>号</w:t>
      </w:r>
      <w:r>
        <w:rPr>
          <w:rFonts w:ascii="宋体" w:hAnsi="宋体" w:hint="eastAsia"/>
          <w:sz w:val="24"/>
          <w:szCs w:val="24"/>
        </w:rPr>
        <w:t>)</w:t>
      </w:r>
      <w:r>
        <w:rPr>
          <w:rFonts w:ascii="宋体" w:hAnsi="宋体" w:hint="eastAsia"/>
          <w:sz w:val="24"/>
          <w:szCs w:val="24"/>
        </w:rPr>
        <w:t>，提出建立完善具有中国特色的标准体系和标准化管理体制，“鼓励具备相应能力的学会、协会、商会、联合会等社会组织和产业技术联盟协调相关市场主体共同制定满足市场和创新需要的标准”。</w:t>
      </w:r>
    </w:p>
    <w:p w:rsidR="00EB314D" w:rsidRDefault="00F100E7">
      <w:pPr>
        <w:spacing w:line="360" w:lineRule="auto"/>
        <w:ind w:firstLine="482"/>
        <w:rPr>
          <w:rFonts w:ascii="黑体" w:eastAsia="黑体" w:hAnsi="黑体"/>
          <w:b/>
          <w:sz w:val="24"/>
          <w:szCs w:val="24"/>
        </w:rPr>
      </w:pPr>
      <w:r>
        <w:rPr>
          <w:rFonts w:ascii="黑体" w:eastAsia="黑体" w:hAnsi="黑体" w:hint="eastAsia"/>
          <w:b/>
          <w:sz w:val="24"/>
          <w:szCs w:val="24"/>
        </w:rPr>
        <w:t>4.</w:t>
      </w:r>
      <w:r>
        <w:rPr>
          <w:rFonts w:ascii="黑体" w:eastAsia="黑体" w:hAnsi="黑体" w:hint="eastAsia"/>
          <w:b/>
          <w:sz w:val="24"/>
          <w:szCs w:val="24"/>
        </w:rPr>
        <w:t>新兴产业形成过程中标准供给滞后，是联盟标准发挥作用的重要领域</w:t>
      </w:r>
    </w:p>
    <w:p w:rsidR="00EB314D" w:rsidRDefault="00F100E7">
      <w:pPr>
        <w:spacing w:line="360" w:lineRule="auto"/>
        <w:ind w:firstLine="480"/>
        <w:rPr>
          <w:rFonts w:ascii="宋体" w:hAnsi="宋体"/>
          <w:sz w:val="24"/>
          <w:szCs w:val="24"/>
        </w:rPr>
      </w:pPr>
      <w:r>
        <w:rPr>
          <w:rFonts w:ascii="宋体" w:hAnsi="宋体" w:hint="eastAsia"/>
          <w:sz w:val="24"/>
          <w:szCs w:val="24"/>
        </w:rPr>
        <w:t>新兴产业在形成中，标准供给滞后于产业需求。特别是在以下两类领域中表现更加突出。</w:t>
      </w:r>
    </w:p>
    <w:p w:rsidR="00EB314D" w:rsidRDefault="00F100E7">
      <w:pPr>
        <w:spacing w:line="360" w:lineRule="auto"/>
        <w:ind w:firstLine="482"/>
        <w:rPr>
          <w:rFonts w:ascii="黑体" w:eastAsia="黑体" w:hAnsi="黑体"/>
          <w:b/>
          <w:sz w:val="24"/>
          <w:szCs w:val="24"/>
        </w:rPr>
      </w:pPr>
      <w:r>
        <w:rPr>
          <w:rFonts w:ascii="黑体" w:eastAsia="黑体" w:hAnsi="黑体" w:hint="eastAsia"/>
          <w:b/>
          <w:sz w:val="24"/>
          <w:szCs w:val="24"/>
        </w:rPr>
        <w:t>4.1</w:t>
      </w:r>
      <w:r>
        <w:rPr>
          <w:rFonts w:ascii="黑体" w:eastAsia="黑体" w:hAnsi="黑体" w:hint="eastAsia"/>
          <w:b/>
          <w:sz w:val="24"/>
          <w:szCs w:val="24"/>
        </w:rPr>
        <w:t>技术应用范围广泛的产业</w:t>
      </w:r>
    </w:p>
    <w:p w:rsidR="00EB314D" w:rsidRDefault="00F100E7">
      <w:pPr>
        <w:spacing w:line="360" w:lineRule="auto"/>
        <w:ind w:firstLine="480"/>
        <w:rPr>
          <w:rFonts w:ascii="宋体" w:hAnsi="宋体"/>
          <w:sz w:val="24"/>
          <w:szCs w:val="24"/>
        </w:rPr>
      </w:pPr>
      <w:r>
        <w:rPr>
          <w:rFonts w:ascii="宋体" w:hAnsi="宋体" w:hint="eastAsia"/>
          <w:sz w:val="24"/>
          <w:szCs w:val="24"/>
        </w:rPr>
        <w:t>现有产业技术发展</w:t>
      </w:r>
      <w:r>
        <w:rPr>
          <w:rFonts w:ascii="宋体" w:hAnsi="宋体" w:hint="eastAsia"/>
          <w:sz w:val="24"/>
          <w:szCs w:val="24"/>
        </w:rPr>
        <w:t>轨道没有给应用范围广、颠覆式技术留出融入的渠道。例如由</w:t>
      </w:r>
      <w:r>
        <w:rPr>
          <w:rFonts w:ascii="宋体" w:hAnsi="宋体"/>
          <w:sz w:val="24"/>
          <w:szCs w:val="24"/>
        </w:rPr>
        <w:t>山东</w:t>
      </w:r>
      <w:r>
        <w:rPr>
          <w:rFonts w:ascii="宋体" w:hAnsi="宋体" w:hint="eastAsia"/>
          <w:sz w:val="24"/>
          <w:szCs w:val="24"/>
        </w:rPr>
        <w:t>某</w:t>
      </w:r>
      <w:r>
        <w:rPr>
          <w:rFonts w:ascii="宋体" w:hAnsi="宋体"/>
          <w:sz w:val="24"/>
          <w:szCs w:val="24"/>
        </w:rPr>
        <w:t>公司技术团队研发成功的</w:t>
      </w:r>
      <w:r>
        <w:rPr>
          <w:rFonts w:ascii="宋体" w:hAnsi="宋体" w:hint="eastAsia"/>
          <w:sz w:val="24"/>
          <w:szCs w:val="24"/>
        </w:rPr>
        <w:t>陶瓷太阳能板技术，</w:t>
      </w:r>
      <w:r>
        <w:rPr>
          <w:rFonts w:ascii="宋体" w:hAnsi="宋体"/>
          <w:sz w:val="24"/>
          <w:szCs w:val="24"/>
        </w:rPr>
        <w:t>基体利用普通陶瓷，</w:t>
      </w:r>
      <w:r>
        <w:rPr>
          <w:rFonts w:ascii="宋体" w:hAnsi="宋体" w:hint="eastAsia"/>
          <w:sz w:val="24"/>
          <w:szCs w:val="24"/>
        </w:rPr>
        <w:t>表面层覆盖</w:t>
      </w:r>
      <w:r>
        <w:rPr>
          <w:rFonts w:ascii="宋体" w:hAnsi="宋体"/>
          <w:sz w:val="24"/>
          <w:szCs w:val="24"/>
        </w:rPr>
        <w:t>立体网状的钒钛黑瓷</w:t>
      </w:r>
      <w:r>
        <w:rPr>
          <w:rFonts w:ascii="宋体" w:hAnsi="宋体" w:hint="eastAsia"/>
          <w:sz w:val="24"/>
          <w:szCs w:val="24"/>
        </w:rPr>
        <w:t>，</w:t>
      </w:r>
      <w:r>
        <w:rPr>
          <w:rFonts w:ascii="宋体" w:hAnsi="宋体"/>
          <w:sz w:val="24"/>
          <w:szCs w:val="24"/>
        </w:rPr>
        <w:t>黑瓷由成本低的</w:t>
      </w:r>
      <w:r>
        <w:rPr>
          <w:rFonts w:ascii="宋体" w:hAnsi="宋体" w:hint="eastAsia"/>
          <w:sz w:val="24"/>
          <w:szCs w:val="24"/>
        </w:rPr>
        <w:t>钢铁废料制成，太阳能光板依靠捕捉太阳光获取能量，并且光线只进不出，光热转换效率高，具有广泛的用途，可</w:t>
      </w:r>
      <w:r>
        <w:rPr>
          <w:rFonts w:ascii="宋体" w:hAnsi="宋体"/>
          <w:sz w:val="24"/>
          <w:szCs w:val="24"/>
        </w:rPr>
        <w:t>用于</w:t>
      </w:r>
      <w:r>
        <w:rPr>
          <w:rFonts w:ascii="宋体" w:hAnsi="宋体" w:hint="eastAsia"/>
          <w:sz w:val="24"/>
          <w:szCs w:val="24"/>
        </w:rPr>
        <w:t>各</w:t>
      </w:r>
      <w:r>
        <w:rPr>
          <w:rFonts w:ascii="宋体" w:hAnsi="宋体"/>
          <w:sz w:val="24"/>
          <w:szCs w:val="24"/>
        </w:rPr>
        <w:t>类建筑</w:t>
      </w:r>
      <w:r>
        <w:rPr>
          <w:rFonts w:ascii="宋体" w:hAnsi="宋体" w:hint="eastAsia"/>
          <w:sz w:val="24"/>
          <w:szCs w:val="24"/>
        </w:rPr>
        <w:t>，为居民</w:t>
      </w:r>
      <w:r>
        <w:rPr>
          <w:rFonts w:ascii="宋体" w:hAnsi="宋体"/>
          <w:sz w:val="24"/>
          <w:szCs w:val="24"/>
        </w:rPr>
        <w:t>提供</w:t>
      </w:r>
      <w:r>
        <w:rPr>
          <w:rFonts w:ascii="宋体" w:hAnsi="宋体" w:hint="eastAsia"/>
          <w:sz w:val="24"/>
          <w:szCs w:val="24"/>
        </w:rPr>
        <w:t>采暖和</w:t>
      </w:r>
      <w:r>
        <w:rPr>
          <w:rFonts w:ascii="宋体" w:hAnsi="宋体"/>
          <w:sz w:val="24"/>
          <w:szCs w:val="24"/>
        </w:rPr>
        <w:t>生活热水，为工农业提供热水、热风、热能</w:t>
      </w:r>
      <w:r>
        <w:rPr>
          <w:rFonts w:ascii="宋体" w:hAnsi="宋体" w:hint="eastAsia"/>
          <w:sz w:val="24"/>
          <w:szCs w:val="24"/>
        </w:rPr>
        <w:t>，</w:t>
      </w:r>
      <w:r>
        <w:rPr>
          <w:rFonts w:ascii="宋体" w:hAnsi="宋体"/>
          <w:sz w:val="24"/>
          <w:szCs w:val="24"/>
        </w:rPr>
        <w:t>也有助于解决全球能源、气候、淡水、耕地问题。</w:t>
      </w:r>
      <w:r>
        <w:rPr>
          <w:rFonts w:ascii="宋体" w:hAnsi="宋体" w:hint="eastAsia"/>
          <w:sz w:val="24"/>
          <w:szCs w:val="24"/>
        </w:rPr>
        <w:t>属于国内外首创，比常规用的真空管型、金属平板型集热管，具有低成本、低能耗、长寿命等很多优点。</w:t>
      </w:r>
    </w:p>
    <w:p w:rsidR="00EB314D" w:rsidRDefault="00F100E7">
      <w:pPr>
        <w:spacing w:line="360" w:lineRule="auto"/>
        <w:ind w:firstLine="480"/>
        <w:rPr>
          <w:rFonts w:ascii="宋体" w:hAnsi="宋体"/>
          <w:sz w:val="24"/>
          <w:szCs w:val="24"/>
        </w:rPr>
      </w:pPr>
      <w:r>
        <w:rPr>
          <w:rFonts w:ascii="宋体" w:hAnsi="宋体" w:hint="eastAsia"/>
          <w:sz w:val="24"/>
          <w:szCs w:val="24"/>
        </w:rPr>
        <w:t>尽管该技术集多个优点于一身，但其应用一直难</w:t>
      </w:r>
      <w:r>
        <w:rPr>
          <w:rFonts w:ascii="宋体" w:hAnsi="宋体" w:hint="eastAsia"/>
          <w:sz w:val="24"/>
          <w:szCs w:val="24"/>
        </w:rPr>
        <w:t>以推开。若形成以该技术</w:t>
      </w:r>
      <w:r>
        <w:rPr>
          <w:rFonts w:ascii="宋体" w:hAnsi="宋体" w:hint="eastAsia"/>
          <w:sz w:val="24"/>
          <w:szCs w:val="24"/>
        </w:rPr>
        <w:lastRenderedPageBreak/>
        <w:t>为主导的产业，需要足够规模的市场应用，需要接入到已有的体系中。已有体系中的各个环节现有标准都与新技术的需求不匹配。比如其产品可集成几种功能于一体用于城市建筑，但是在现有的建筑施工验收标准体系下，这是无法通过的，就造成了应用端受限，市场局面打不开，发展规模上不去，产业上下游各个链条不通畅。这种情况下，在联盟内实施推广联盟标准，就成为促进这类技术实现市场应用的有效途径。</w:t>
      </w:r>
    </w:p>
    <w:p w:rsidR="00EB314D" w:rsidRDefault="00F100E7">
      <w:pPr>
        <w:spacing w:line="360" w:lineRule="auto"/>
        <w:ind w:firstLine="482"/>
        <w:rPr>
          <w:rFonts w:ascii="黑体" w:eastAsia="黑体" w:hAnsi="黑体"/>
          <w:b/>
          <w:sz w:val="24"/>
          <w:szCs w:val="24"/>
        </w:rPr>
      </w:pPr>
      <w:r>
        <w:rPr>
          <w:rFonts w:ascii="黑体" w:eastAsia="黑体" w:hAnsi="黑体" w:hint="eastAsia"/>
          <w:b/>
          <w:sz w:val="24"/>
          <w:szCs w:val="24"/>
        </w:rPr>
        <w:t>4.2</w:t>
      </w:r>
      <w:r>
        <w:rPr>
          <w:rFonts w:ascii="黑体" w:eastAsia="黑体" w:hAnsi="黑体" w:hint="eastAsia"/>
          <w:b/>
          <w:sz w:val="24"/>
          <w:szCs w:val="24"/>
        </w:rPr>
        <w:t>信息技术动力驱动的产业领域</w:t>
      </w:r>
    </w:p>
    <w:p w:rsidR="00EB314D" w:rsidRDefault="00F100E7">
      <w:pPr>
        <w:spacing w:line="360" w:lineRule="auto"/>
        <w:ind w:firstLine="480"/>
        <w:rPr>
          <w:rFonts w:ascii="宋体" w:hAnsi="宋体"/>
          <w:sz w:val="24"/>
          <w:szCs w:val="24"/>
        </w:rPr>
      </w:pPr>
      <w:r>
        <w:rPr>
          <w:rFonts w:ascii="宋体" w:hAnsi="宋体" w:hint="eastAsia"/>
          <w:sz w:val="24"/>
          <w:szCs w:val="24"/>
        </w:rPr>
        <w:t>作为一种通用技术，信息技术正在对所有产业发生着重要影响。大数据和云技术、智能识别和操控</w:t>
      </w:r>
      <w:r>
        <w:rPr>
          <w:rFonts w:ascii="宋体" w:hAnsi="宋体" w:hint="eastAsia"/>
          <w:sz w:val="24"/>
          <w:szCs w:val="24"/>
        </w:rPr>
        <w:t>、开源技术等主导的信息技术动力造成了各产业组织模式、生产范式的变化，进一步助推了新技术的爆炸式增长，新技术的迭代加速化。与诸多行业都有融合。在各类产业中，叠加信息技术之后，旧有标准体系满足不了需求，产业技术创新战略联盟标准则可以发挥重要的作用。</w:t>
      </w:r>
    </w:p>
    <w:p w:rsidR="00EB314D" w:rsidRDefault="00F100E7">
      <w:pPr>
        <w:spacing w:line="360" w:lineRule="auto"/>
        <w:ind w:firstLine="482"/>
        <w:rPr>
          <w:rFonts w:ascii="黑体" w:eastAsia="黑体" w:hAnsi="黑体"/>
          <w:b/>
          <w:sz w:val="24"/>
          <w:szCs w:val="24"/>
        </w:rPr>
      </w:pPr>
      <w:r>
        <w:rPr>
          <w:rFonts w:ascii="黑体" w:eastAsia="黑体" w:hAnsi="黑体" w:hint="eastAsia"/>
          <w:b/>
          <w:sz w:val="24"/>
          <w:szCs w:val="24"/>
        </w:rPr>
        <w:t>5.</w:t>
      </w:r>
      <w:r>
        <w:rPr>
          <w:rFonts w:ascii="黑体" w:eastAsia="黑体" w:hAnsi="黑体" w:hint="eastAsia"/>
          <w:b/>
          <w:sz w:val="24"/>
          <w:szCs w:val="24"/>
        </w:rPr>
        <w:t>新兴技术领域的产业技术创新战略联盟已开展标准探索</w:t>
      </w:r>
    </w:p>
    <w:p w:rsidR="00EB314D" w:rsidRDefault="00F100E7">
      <w:pPr>
        <w:spacing w:line="360" w:lineRule="auto"/>
        <w:ind w:firstLine="480"/>
        <w:rPr>
          <w:rFonts w:ascii="宋体" w:hAnsi="宋体"/>
          <w:sz w:val="24"/>
          <w:szCs w:val="24"/>
        </w:rPr>
      </w:pPr>
      <w:r>
        <w:rPr>
          <w:rFonts w:ascii="宋体" w:hAnsi="宋体" w:hint="eastAsia"/>
          <w:sz w:val="24"/>
          <w:szCs w:val="24"/>
        </w:rPr>
        <w:t>产业技术创新战略联盟的主要任务之一，是“形成盟员单位公共技术支撑平台，提高技术创新资源利用效率，实行知识产权分享，形成产业技术标准”</w:t>
      </w:r>
      <w:r>
        <w:rPr>
          <w:rFonts w:ascii="宋体" w:hAnsi="宋体" w:hint="eastAsia"/>
          <w:sz w:val="24"/>
          <w:szCs w:val="24"/>
          <w:vertAlign w:val="superscript"/>
        </w:rPr>
        <w:t>[9]</w:t>
      </w:r>
      <w:r>
        <w:rPr>
          <w:rFonts w:ascii="宋体" w:hAnsi="宋体" w:hint="eastAsia"/>
          <w:sz w:val="24"/>
          <w:szCs w:val="24"/>
        </w:rPr>
        <w:t>通过制定和实施标准，能够推动产业技术成果的转化和商品化，完善、优化技术创新</w:t>
      </w:r>
      <w:r>
        <w:rPr>
          <w:rFonts w:ascii="宋体" w:hAnsi="宋体" w:hint="eastAsia"/>
          <w:sz w:val="24"/>
          <w:szCs w:val="24"/>
        </w:rPr>
        <w:t>链，促进集成创新。联盟是有契约保障的具有法律约束力的组织，具有开展标准工作的组织基础，而且，在新技术的应用或成果转化方面积累了丰富的经验。联盟标准在产业范围内的推广实施，引领产业技术发展的方向，可带动行业内其他企业学习借鉴，辐射扩散新技术，最终提升产业的核心竞争力。</w:t>
      </w:r>
    </w:p>
    <w:p w:rsidR="00EB314D" w:rsidRDefault="00F100E7">
      <w:pPr>
        <w:spacing w:line="360" w:lineRule="auto"/>
        <w:ind w:firstLine="480"/>
        <w:rPr>
          <w:rFonts w:ascii="宋体" w:hAnsi="宋体"/>
          <w:sz w:val="24"/>
          <w:szCs w:val="24"/>
        </w:rPr>
      </w:pPr>
      <w:r>
        <w:rPr>
          <w:rFonts w:ascii="宋体" w:hAnsi="宋体" w:hint="eastAsia"/>
          <w:sz w:val="24"/>
          <w:szCs w:val="24"/>
        </w:rPr>
        <w:t>目前，有一些联盟，如新材料领域的半导体照明产业技术创新战略联盟、新一代信息技术领域的</w:t>
      </w:r>
      <w:r>
        <w:rPr>
          <w:rFonts w:ascii="宋体" w:hAnsi="宋体" w:hint="eastAsia"/>
          <w:sz w:val="24"/>
          <w:szCs w:val="24"/>
        </w:rPr>
        <w:t>TD</w:t>
      </w:r>
      <w:r>
        <w:rPr>
          <w:rFonts w:ascii="宋体" w:hAnsi="宋体" w:hint="eastAsia"/>
          <w:sz w:val="24"/>
          <w:szCs w:val="24"/>
        </w:rPr>
        <w:t>产业技术创新战略联盟、节能环保领域的住宅科技产业技术创新战略联盟和再生资源产业技术创新战略联盟等国家试点联盟已经开始制定发布联盟标准，对支撑技术创新、示范应</w:t>
      </w:r>
      <w:r>
        <w:rPr>
          <w:rFonts w:ascii="宋体" w:hAnsi="宋体" w:hint="eastAsia"/>
          <w:sz w:val="24"/>
          <w:szCs w:val="24"/>
        </w:rPr>
        <w:t>用、制定国家标准和参与国际标准做了大量有益的尝试。</w:t>
      </w:r>
    </w:p>
    <w:p w:rsidR="00EB314D" w:rsidRDefault="00F100E7">
      <w:pPr>
        <w:pStyle w:val="a3"/>
        <w:spacing w:before="0" w:beforeAutospacing="0" w:after="0" w:afterAutospacing="0" w:line="360" w:lineRule="auto"/>
        <w:ind w:firstLine="410"/>
        <w:jc w:val="both"/>
      </w:pPr>
      <w:r>
        <w:rPr>
          <w:rFonts w:cs="Times New Roman" w:hint="eastAsia"/>
        </w:rPr>
        <w:t>半导体照明联盟组建了国家半导体照明工程研发及产业联盟标准化委员会</w:t>
      </w:r>
      <w:r>
        <w:rPr>
          <w:rFonts w:cs="Times New Roman" w:hint="eastAsia"/>
        </w:rPr>
        <w:t>(CSAS)</w:t>
      </w:r>
      <w:r>
        <w:rPr>
          <w:rFonts w:cs="Times New Roman" w:hint="eastAsia"/>
        </w:rPr>
        <w:t>，</w:t>
      </w:r>
      <w:r>
        <w:t>正式成员有</w:t>
      </w:r>
      <w:r>
        <w:t>126</w:t>
      </w:r>
      <w:r>
        <w:t>家，目前已制定联盟标准</w:t>
      </w:r>
      <w:r>
        <w:t>30</w:t>
      </w:r>
      <w:r>
        <w:t>多项。</w:t>
      </w:r>
      <w:r>
        <w:rPr>
          <w:rFonts w:cs="Times New Roman" w:hint="eastAsia"/>
        </w:rPr>
        <w:t>在这些标准的制定过程中，</w:t>
      </w:r>
      <w:r>
        <w:rPr>
          <w:rFonts w:cs="Times New Roman" w:hint="eastAsia"/>
        </w:rPr>
        <w:t>CSAS</w:t>
      </w:r>
      <w:r>
        <w:rPr>
          <w:rFonts w:cs="Times New Roman" w:hint="eastAsia"/>
        </w:rPr>
        <w:t>组织召开了专家评审会、标准研讨会，并充分听取各方意见，保</w:t>
      </w:r>
      <w:r>
        <w:rPr>
          <w:rFonts w:cs="Times New Roman" w:hint="eastAsia"/>
        </w:rPr>
        <w:lastRenderedPageBreak/>
        <w:t>证了技术合理性，体现了产业发展需求。因为半导体照明产品的研发周期短，技术指标日新月异，在保证衔接性的基础上，联盟标准将根据产业需求和技术发展最新情况，随时复审，修订新的版本。</w:t>
      </w:r>
      <w:r>
        <w:t>住宅科技产业技术创新战略联盟正在开展联盟标准《高层住宅现浇钢筋混凝土</w:t>
      </w:r>
      <w:r>
        <w:t>—</w:t>
      </w:r>
      <w:r>
        <w:t>现场工业化建造工法》、《空中造楼机》、《住宅厨房系统工程技术规程》等的制定工作。再生资源产业技术创新战略联盟正在推进《废旧铜及铜合金分类标准》、《再生铝硅系合金锭检测分析方法》、《废铅酸蓄电池贮存技术规范》等联盟标准的制定和实施。</w:t>
      </w:r>
    </w:p>
    <w:p w:rsidR="00EB314D" w:rsidRDefault="00F100E7">
      <w:pPr>
        <w:spacing w:line="360" w:lineRule="auto"/>
        <w:ind w:firstLine="480"/>
        <w:rPr>
          <w:rFonts w:ascii="宋体" w:hAnsi="宋体"/>
          <w:sz w:val="24"/>
          <w:szCs w:val="24"/>
        </w:rPr>
      </w:pPr>
      <w:r>
        <w:rPr>
          <w:rFonts w:ascii="宋体" w:hAnsi="宋体" w:hint="eastAsia"/>
          <w:sz w:val="24"/>
          <w:szCs w:val="24"/>
        </w:rPr>
        <w:t>许多联盟对联盟标准出台的流程进行了多种探索。大体可以总结为以下几个步骤：首先，在联盟范围内建立标准化工作机构，成立联盟标准化管理委员会，如半导体照明联盟的</w:t>
      </w:r>
      <w:r>
        <w:rPr>
          <w:rFonts w:ascii="宋体" w:hAnsi="宋体" w:hint="eastAsia"/>
          <w:sz w:val="24"/>
          <w:szCs w:val="24"/>
        </w:rPr>
        <w:t>CSAS</w:t>
      </w:r>
      <w:r>
        <w:rPr>
          <w:rFonts w:ascii="宋体" w:hAnsi="宋体" w:hint="eastAsia"/>
          <w:sz w:val="24"/>
          <w:szCs w:val="24"/>
        </w:rPr>
        <w:t>，设有理事会、</w:t>
      </w:r>
      <w:r>
        <w:rPr>
          <w:rFonts w:ascii="宋体" w:hAnsi="宋体" w:hint="eastAsia"/>
          <w:sz w:val="24"/>
          <w:szCs w:val="24"/>
        </w:rPr>
        <w:t>CSAS</w:t>
      </w:r>
      <w:r>
        <w:rPr>
          <w:rFonts w:ascii="宋体" w:hAnsi="宋体" w:hint="eastAsia"/>
          <w:sz w:val="24"/>
          <w:szCs w:val="24"/>
        </w:rPr>
        <w:t>管理委员会、</w:t>
      </w:r>
      <w:r>
        <w:rPr>
          <w:rFonts w:ascii="宋体" w:hAnsi="宋体" w:hint="eastAsia"/>
          <w:sz w:val="24"/>
          <w:szCs w:val="24"/>
        </w:rPr>
        <w:t>CSAS</w:t>
      </w:r>
      <w:r>
        <w:rPr>
          <w:rFonts w:ascii="宋体" w:hAnsi="宋体" w:hint="eastAsia"/>
          <w:sz w:val="24"/>
          <w:szCs w:val="24"/>
        </w:rPr>
        <w:t>正式成</w:t>
      </w:r>
      <w:r>
        <w:rPr>
          <w:rFonts w:ascii="宋体" w:hAnsi="宋体" w:hint="eastAsia"/>
          <w:sz w:val="24"/>
          <w:szCs w:val="24"/>
        </w:rPr>
        <w:t>员、</w:t>
      </w:r>
      <w:r>
        <w:rPr>
          <w:rFonts w:ascii="宋体" w:hAnsi="宋体" w:hint="eastAsia"/>
          <w:sz w:val="24"/>
          <w:szCs w:val="24"/>
        </w:rPr>
        <w:t>CSAS</w:t>
      </w:r>
      <w:r>
        <w:rPr>
          <w:rFonts w:ascii="宋体" w:hAnsi="宋体" w:hint="eastAsia"/>
          <w:sz w:val="24"/>
          <w:szCs w:val="24"/>
        </w:rPr>
        <w:t>观察成员、</w:t>
      </w:r>
      <w:r>
        <w:rPr>
          <w:rFonts w:ascii="宋体" w:hAnsi="宋体" w:hint="eastAsia"/>
          <w:sz w:val="24"/>
          <w:szCs w:val="24"/>
        </w:rPr>
        <w:t>CSAS</w:t>
      </w:r>
      <w:r>
        <w:rPr>
          <w:rFonts w:ascii="宋体" w:hAnsi="宋体" w:hint="eastAsia"/>
          <w:sz w:val="24"/>
          <w:szCs w:val="24"/>
        </w:rPr>
        <w:t>秘书处。</w:t>
      </w:r>
      <w:r>
        <w:rPr>
          <w:rFonts w:ascii="宋体" w:hAnsi="宋体" w:hint="eastAsia"/>
          <w:sz w:val="24"/>
          <w:szCs w:val="24"/>
        </w:rPr>
        <w:t>CSAS</w:t>
      </w:r>
      <w:r>
        <w:rPr>
          <w:rFonts w:ascii="宋体" w:hAnsi="宋体" w:hint="eastAsia"/>
          <w:sz w:val="24"/>
          <w:szCs w:val="24"/>
        </w:rPr>
        <w:t>的正式成员来自于联盟的常务理事单位和理事单位，联盟的普通成员只能作</w:t>
      </w:r>
      <w:r>
        <w:rPr>
          <w:rFonts w:ascii="宋体" w:hAnsi="宋体" w:hint="eastAsia"/>
          <w:sz w:val="24"/>
          <w:szCs w:val="24"/>
        </w:rPr>
        <w:t>CSAS</w:t>
      </w:r>
      <w:r>
        <w:rPr>
          <w:rFonts w:ascii="宋体" w:hAnsi="宋体" w:hint="eastAsia"/>
          <w:sz w:val="24"/>
          <w:szCs w:val="24"/>
        </w:rPr>
        <w:t>的观察成员。标委会下设立了三个工作组，和一个非常设的标准起草小组。三个工作组为：规格接口标准化工作组、可靠性与加速试验工作组、</w:t>
      </w:r>
      <w:r>
        <w:rPr>
          <w:rFonts w:ascii="宋体" w:hAnsi="宋体" w:hint="eastAsia"/>
          <w:sz w:val="24"/>
          <w:szCs w:val="24"/>
        </w:rPr>
        <w:t>LED</w:t>
      </w:r>
      <w:r>
        <w:rPr>
          <w:rFonts w:ascii="宋体" w:hAnsi="宋体" w:hint="eastAsia"/>
          <w:sz w:val="24"/>
          <w:szCs w:val="24"/>
        </w:rPr>
        <w:t>照明系统与控制工作组。其次，明确联盟标准化工作范围与目标，提出工作规划。确立体系架构，编制体系表。</w:t>
      </w:r>
      <w:r>
        <w:rPr>
          <w:rFonts w:ascii="宋体" w:hAnsi="宋体" w:hint="eastAsia"/>
          <w:sz w:val="24"/>
          <w:szCs w:val="24"/>
        </w:rPr>
        <w:t>CSAS</w:t>
      </w:r>
      <w:r>
        <w:rPr>
          <w:rFonts w:ascii="宋体" w:hAnsi="宋体" w:hint="eastAsia"/>
          <w:sz w:val="24"/>
          <w:szCs w:val="24"/>
        </w:rPr>
        <w:t>的</w:t>
      </w:r>
      <w:r>
        <w:rPr>
          <w:rFonts w:ascii="宋体" w:hAnsi="宋体" w:hint="eastAsia"/>
          <w:sz w:val="24"/>
          <w:szCs w:val="24"/>
        </w:rPr>
        <w:t>5</w:t>
      </w:r>
      <w:r>
        <w:rPr>
          <w:rFonts w:ascii="宋体" w:hAnsi="宋体" w:hint="eastAsia"/>
          <w:sz w:val="24"/>
          <w:szCs w:val="24"/>
        </w:rPr>
        <w:t>家以上正式成员方可提出提案，由标准管理委员会或工作组投票确定立项与否。再次，开展标准的制（修）订工作，</w:t>
      </w:r>
      <w:r>
        <w:rPr>
          <w:rFonts w:ascii="宋体" w:hAnsi="宋体"/>
          <w:sz w:val="24"/>
          <w:szCs w:val="24"/>
        </w:rPr>
        <w:t>通过</w:t>
      </w:r>
      <w:r>
        <w:rPr>
          <w:rFonts w:ascii="宋体" w:hAnsi="宋体"/>
          <w:sz w:val="24"/>
          <w:szCs w:val="24"/>
        </w:rPr>
        <w:t>“</w:t>
      </w:r>
      <w:r>
        <w:rPr>
          <w:rFonts w:ascii="宋体" w:hAnsi="宋体"/>
          <w:sz w:val="24"/>
          <w:szCs w:val="24"/>
        </w:rPr>
        <w:t>专利池</w:t>
      </w:r>
      <w:r>
        <w:rPr>
          <w:rFonts w:ascii="宋体" w:hAnsi="宋体"/>
          <w:sz w:val="24"/>
          <w:szCs w:val="24"/>
        </w:rPr>
        <w:t>”</w:t>
      </w:r>
      <w:r>
        <w:rPr>
          <w:rFonts w:ascii="宋体" w:hAnsi="宋体" w:hint="eastAsia"/>
          <w:sz w:val="24"/>
          <w:szCs w:val="24"/>
        </w:rPr>
        <w:t>等</w:t>
      </w:r>
      <w:r>
        <w:rPr>
          <w:rFonts w:ascii="宋体" w:hAnsi="宋体"/>
          <w:sz w:val="24"/>
          <w:szCs w:val="24"/>
        </w:rPr>
        <w:t>方式来实现标准和技术创新的衔接和</w:t>
      </w:r>
      <w:r>
        <w:rPr>
          <w:rFonts w:ascii="宋体" w:hAnsi="宋体"/>
          <w:sz w:val="24"/>
          <w:szCs w:val="24"/>
        </w:rPr>
        <w:t>效益最大化</w:t>
      </w:r>
      <w:r>
        <w:rPr>
          <w:rFonts w:ascii="宋体" w:hAnsi="宋体" w:hint="eastAsia"/>
          <w:sz w:val="24"/>
          <w:szCs w:val="24"/>
        </w:rPr>
        <w:t>。半导体照明联盟的</w:t>
      </w:r>
      <w:r>
        <w:rPr>
          <w:rFonts w:ascii="宋体" w:hAnsi="宋体" w:hint="eastAsia"/>
          <w:sz w:val="24"/>
          <w:szCs w:val="24"/>
        </w:rPr>
        <w:t>CSAS</w:t>
      </w:r>
      <w:r>
        <w:rPr>
          <w:rFonts w:ascii="宋体" w:hAnsi="宋体" w:hint="eastAsia"/>
          <w:sz w:val="24"/>
          <w:szCs w:val="24"/>
        </w:rPr>
        <w:t>标准立项后，在正式成员内组建标准起草小组，标准出来后在全体成员内征求意见，形成标委会草案，交给正式成员投票。最后，发布联盟标准，由联盟标准化管理委员会开展培训、实施宣贯，并且建立定期考核及持续改进的机制。</w:t>
      </w:r>
    </w:p>
    <w:p w:rsidR="00EB314D" w:rsidRDefault="00F100E7">
      <w:pPr>
        <w:spacing w:line="360" w:lineRule="auto"/>
        <w:ind w:firstLine="480"/>
        <w:rPr>
          <w:rFonts w:ascii="宋体" w:hAnsi="宋体"/>
          <w:sz w:val="24"/>
          <w:szCs w:val="24"/>
        </w:rPr>
      </w:pPr>
      <w:r>
        <w:rPr>
          <w:rFonts w:ascii="宋体" w:hAnsi="宋体" w:hint="eastAsia"/>
          <w:sz w:val="24"/>
          <w:szCs w:val="24"/>
        </w:rPr>
        <w:t>半导体照明联盟标准制定流程见图</w:t>
      </w:r>
      <w:r>
        <w:rPr>
          <w:rFonts w:ascii="宋体" w:hAnsi="宋体" w:hint="eastAsia"/>
          <w:sz w:val="24"/>
          <w:szCs w:val="24"/>
        </w:rPr>
        <w:t>1</w:t>
      </w:r>
      <w:r>
        <w:rPr>
          <w:rFonts w:ascii="宋体" w:hAnsi="宋体" w:hint="eastAsia"/>
          <w:sz w:val="24"/>
          <w:szCs w:val="24"/>
        </w:rPr>
        <w:t>。</w:t>
      </w:r>
    </w:p>
    <w:p w:rsidR="00EB314D" w:rsidRDefault="00EB314D">
      <w:pPr>
        <w:spacing w:line="360" w:lineRule="auto"/>
        <w:ind w:firstLine="420"/>
      </w:pPr>
      <w:r>
        <w:rPr>
          <w:noProof/>
        </w:rPr>
      </w:r>
      <w:r>
        <w:rPr>
          <w:noProof/>
        </w:rPr>
        <w:pict>
          <v:group id="_x0000_s1051" style="width:290.3pt;height:295.3pt;mso-position-horizontal-relative:char;mso-position-vertical-relative:line" coordsize="5806,5906">
            <v:rect id="" o:spid="_x0000_s1027" style="position:absolute;width:5806;height:5906" filled="f" stroked="f"/>
            <v:roundrect id="" o:spid="_x0000_s1028" style="position:absolute;left:203;top:8;width:1440;height:600" arcsize="10923f">
              <v:fill color2="black" angle="180"/>
              <v:textbox>
                <w:txbxContent>
                  <w:p w:rsidR="00EB314D" w:rsidRDefault="00F100E7">
                    <w:pPr>
                      <w:jc w:val="center"/>
                    </w:pPr>
                    <w:r>
                      <w:t>提</w:t>
                    </w:r>
                    <w:r>
                      <w:t xml:space="preserve">  </w:t>
                    </w:r>
                    <w:r>
                      <w:t>案</w:t>
                    </w:r>
                  </w:p>
                </w:txbxContent>
              </v:textbox>
            </v:roundrect>
            <v:roundrect id="" o:spid="_x0000_s1029" style="position:absolute;left:203;top:978;width:1440;height:525" arcsize="10923f">
              <v:fill color2="black" angle="180"/>
              <v:textbox>
                <w:txbxContent>
                  <w:p w:rsidR="00EB314D" w:rsidRDefault="00F100E7">
                    <w:pPr>
                      <w:jc w:val="center"/>
                    </w:pPr>
                    <w:r>
                      <w:t>立</w:t>
                    </w:r>
                    <w:r>
                      <w:t xml:space="preserve">  </w:t>
                    </w:r>
                    <w:r>
                      <w:t>项</w:t>
                    </w:r>
                  </w:p>
                </w:txbxContent>
              </v:textbox>
            </v:roundrect>
            <v:roundrect id="" o:spid="_x0000_s1030" style="position:absolute;left:84;top:1839;width:1440;height:523" arcsize="10923f">
              <v:fill color2="black" angle="180"/>
              <v:textbox>
                <w:txbxContent>
                  <w:p w:rsidR="00EB314D" w:rsidRDefault="00F100E7">
                    <w:pPr>
                      <w:jc w:val="center"/>
                    </w:pPr>
                    <w:r>
                      <w:t>起草小组</w:t>
                    </w:r>
                  </w:p>
                </w:txbxContent>
              </v:textbox>
            </v:roundrect>
            <v:roundrect id="" o:spid="_x0000_s1031" style="position:absolute;left:84;top:2891;width:1440;height:583" arcsize="10923f">
              <v:fill color2="black" angle="180"/>
              <v:textbox>
                <w:txbxContent>
                  <w:p w:rsidR="00EB314D" w:rsidRDefault="00F100E7">
                    <w:r>
                      <w:t>征求意见稿</w:t>
                    </w:r>
                  </w:p>
                </w:txbxContent>
              </v:textbox>
            </v:roundrect>
            <v:roundrect id="" o:spid="_x0000_s1032" style="position:absolute;left:8;top:4040;width:1516;height:643" arcsize="10923f">
              <v:fill color2="black" angle="180"/>
              <v:textbox>
                <w:txbxContent>
                  <w:p w:rsidR="00EB314D" w:rsidRDefault="00F100E7">
                    <w:r>
                      <w:t>委员会草案</w:t>
                    </w:r>
                  </w:p>
                </w:txbxContent>
              </v:textbox>
            </v:roundrect>
            <v:roundrect id="" o:spid="_x0000_s1033" style="position:absolute;left:8;top:5193;width:1516;height:600" arcsize="10923f">
              <v:fill color2="black" angle="180"/>
              <v:textbox>
                <w:txbxContent>
                  <w:p w:rsidR="00EB314D" w:rsidRDefault="00F100E7">
                    <w:pPr>
                      <w:jc w:val="center"/>
                    </w:pPr>
                    <w:r>
                      <w:t>发</w:t>
                    </w:r>
                    <w:r>
                      <w:t xml:space="preserve">  </w:t>
                    </w:r>
                    <w:r>
                      <w:t>布</w:t>
                    </w:r>
                  </w:p>
                </w:txbxContent>
              </v:textbox>
            </v:roundrect>
            <v:roundrect id="" o:spid="_x0000_s1034" style="position:absolute;left:3623;top:5313;width:1621;height:585" arcsize="10923f">
              <v:fill color2="black" angle="180"/>
              <v:textbox>
                <w:txbxContent>
                  <w:p w:rsidR="00EB314D" w:rsidRDefault="00F100E7">
                    <w:r>
                      <w:t>修订或撤销</w:t>
                    </w:r>
                  </w:p>
                </w:txbxContent>
              </v:textbox>
            </v:round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 o:spid="_x0000_s1035" type="#_x0000_t176" style="position:absolute;left:3052;top:98;width:2746;height:510">
              <v:fill color2="black" angle="180"/>
              <v:textbox>
                <w:txbxContent>
                  <w:p w:rsidR="00EB314D" w:rsidRDefault="00F100E7">
                    <w:r>
                      <w:t>5</w:t>
                    </w:r>
                    <w:r>
                      <w:t>家正式成员</w:t>
                    </w:r>
                  </w:p>
                </w:txbxContent>
              </v:textbox>
            </v:shape>
            <v:shape id="" o:spid="_x0000_s1036" type="#_x0000_t176" style="position:absolute;left:3054;top:978;width:2744;height:495">
              <v:fill color2="black" angle="180"/>
              <v:textbox>
                <w:txbxContent>
                  <w:p w:rsidR="00EB314D" w:rsidRDefault="00F100E7">
                    <w:r>
                      <w:t>管理委员会或工作组投票</w:t>
                    </w:r>
                  </w:p>
                </w:txbxContent>
              </v:textbox>
            </v:shape>
            <v:shape id="" o:spid="_x0000_s1037" type="#_x0000_t176" style="position:absolute;left:3054;top:1854;width:2744;height:508">
              <v:fill color2="black" angle="180"/>
              <v:textbox>
                <w:txbxContent>
                  <w:p w:rsidR="00EB314D" w:rsidRDefault="00F100E7">
                    <w:r>
                      <w:t>正式成员内组建</w:t>
                    </w:r>
                  </w:p>
                </w:txbxContent>
              </v:textbox>
            </v:shape>
            <v:shape id="" o:spid="_x0000_s1038" type="#_x0000_t176" style="position:absolute;left:2979;top:2963;width:2744;height:511">
              <v:fill color2="black" angle="180"/>
              <v:textbox>
                <w:txbxContent>
                  <w:p w:rsidR="00EB314D" w:rsidRDefault="00F100E7">
                    <w:r>
                      <w:t>全体成员内征求意见</w:t>
                    </w:r>
                  </w:p>
                </w:txbxContent>
              </v:textbox>
            </v:shape>
            <v:shape id="" o:spid="_x0000_s1039" type="#_x0000_t176" style="position:absolute;left:2979;top:4190;width:2819;height:493">
              <v:fill color2="black" angle="180"/>
              <v:textbox>
                <w:txbxContent>
                  <w:p w:rsidR="00EB314D" w:rsidRDefault="00F100E7">
                    <w:r>
                      <w:t>正式成员投票</w:t>
                    </w:r>
                  </w:p>
                </w:txbxContent>
              </v:textbox>
            </v:shape>
            <v:shapetype id="_x0000_t32" coordsize="21600,21600" o:spt="32" o:oned="t" path="m,l21600,21600e" filled="f">
              <v:path arrowok="t" fillok="f" o:connecttype="none"/>
              <o:lock v:ext="edit" shapetype="t"/>
            </v:shapetype>
            <v:shape id="" o:spid="_x0000_s1040" type="#_x0000_t32" style="position:absolute;left:1643;top:308;width:1409;height:45" o:connectortype="straight" adj="16200,16200,16200"/>
            <v:shape id="" o:spid="_x0000_s1041" type="#_x0000_t32" style="position:absolute;left:1644;top:1179;width:1410;height:47" o:connectortype="straight" adj="16200,16200,16200"/>
            <v:shape id="" o:spid="_x0000_s1042" type="#_x0000_t32" style="position:absolute;left:1523;top:2107;width:1531;height:26;rotation:360;flip:y" o:connectortype="straight" adj="16200,16200,16200"/>
            <v:shape id="" o:spid="_x0000_s1043" type="#_x0000_t32" style="position:absolute;left:1524;top:3183;width:1410;height:45" o:connectortype="straight" adj="16200,16200,16200"/>
            <v:shape id="" o:spid="_x0000_s1044" type="#_x0000_t32" style="position:absolute;left:1524;top:4307;width:1408;height:45" o:connectortype="straight" adj="16200,16200,16200"/>
            <v:shape id="" o:spid="_x0000_s1045" type="#_x0000_t32" style="position:absolute;left:1524;top:5493;width:1769;height:15" o:connectortype="straight" adj="16200,16200,16200">
              <v:stroke endarrow="block"/>
            </v:shape>
            <v:shape id="" o:spid="_x0000_s1046" type="#_x0000_t32" style="position:absolute;left:923;top:608;width:1;height:370" o:connectortype="straight" adj="16200,16200,16200">
              <v:stroke endarrow="block"/>
            </v:shape>
            <v:shape id="" o:spid="_x0000_s1047" type="#_x0000_t32" style="position:absolute;left:923;top:1503;width:1;height:210" o:connectortype="straight" adj="16200,16200,16200">
              <v:stroke endarrow="block"/>
            </v:shape>
            <v:shape id="" o:spid="_x0000_s1048" type="#_x0000_t32" style="position:absolute;left:804;top:2362;width:1;height:529" o:connectortype="straight" adj="16200,16200,16200">
              <v:stroke endarrow="block"/>
            </v:shape>
            <v:shape id="" o:spid="_x0000_s1049" type="#_x0000_t32" style="position:absolute;left:804;top:3474;width:1;height:413" o:connectortype="straight" adj="16200,16200,16200">
              <v:stroke endarrow="block"/>
            </v:shape>
            <v:shape id="" o:spid="_x0000_s1050" type="#_x0000_t32" style="position:absolute;left:766;top:4683;width:1;height:510" o:connectortype="straight" adj="16200,16200,16200">
              <v:stroke endarrow="block"/>
            </v:shape>
            <w10:wrap type="none"/>
            <w10:anchorlock/>
          </v:group>
        </w:pict>
      </w:r>
    </w:p>
    <w:p w:rsidR="00EB314D" w:rsidRDefault="00F100E7">
      <w:pPr>
        <w:spacing w:line="360" w:lineRule="auto"/>
        <w:ind w:firstLine="420"/>
        <w:jc w:val="center"/>
      </w:pPr>
      <w:r>
        <w:t>图</w:t>
      </w:r>
      <w:r>
        <w:t xml:space="preserve">1 </w:t>
      </w:r>
      <w:r>
        <w:t>半导体照明产业技术创新战略联盟标准制定流程</w:t>
      </w:r>
    </w:p>
    <w:p w:rsidR="00EB314D" w:rsidRDefault="00F100E7">
      <w:pPr>
        <w:spacing w:line="360" w:lineRule="auto"/>
        <w:ind w:firstLine="420"/>
        <w:jc w:val="center"/>
        <w:rPr>
          <w:rFonts w:ascii="宋体" w:hAnsi="宋体"/>
          <w:sz w:val="24"/>
          <w:szCs w:val="24"/>
        </w:rPr>
      </w:pPr>
      <w:r>
        <w:t>资料来源：半导体照明产业技术创新战略联盟</w:t>
      </w:r>
    </w:p>
    <w:p w:rsidR="00EB314D" w:rsidRDefault="00EB314D">
      <w:pPr>
        <w:spacing w:line="360" w:lineRule="auto"/>
        <w:ind w:firstLine="420"/>
        <w:jc w:val="center"/>
        <w:rPr>
          <w:rFonts w:ascii="宋体" w:hAnsi="宋体"/>
          <w:szCs w:val="21"/>
        </w:rPr>
      </w:pPr>
    </w:p>
    <w:p w:rsidR="00EB314D" w:rsidRDefault="00F100E7">
      <w:pPr>
        <w:spacing w:line="360" w:lineRule="auto"/>
        <w:ind w:firstLine="482"/>
        <w:rPr>
          <w:rFonts w:ascii="黑体" w:eastAsia="黑体" w:hAnsi="黑体"/>
          <w:b/>
          <w:sz w:val="24"/>
          <w:szCs w:val="24"/>
        </w:rPr>
      </w:pPr>
      <w:r>
        <w:rPr>
          <w:rFonts w:ascii="黑体" w:eastAsia="黑体" w:hAnsi="黑体" w:hint="eastAsia"/>
          <w:b/>
          <w:sz w:val="24"/>
          <w:szCs w:val="24"/>
        </w:rPr>
        <w:t>6.</w:t>
      </w:r>
      <w:r>
        <w:rPr>
          <w:rFonts w:ascii="黑体" w:eastAsia="黑体" w:hAnsi="黑体" w:hint="eastAsia"/>
          <w:b/>
          <w:sz w:val="24"/>
          <w:szCs w:val="24"/>
        </w:rPr>
        <w:t>推动联盟标准推广实施的建议</w:t>
      </w:r>
    </w:p>
    <w:p w:rsidR="00EB314D" w:rsidRDefault="00F100E7">
      <w:pPr>
        <w:spacing w:line="360" w:lineRule="auto"/>
        <w:ind w:firstLine="482"/>
        <w:rPr>
          <w:rFonts w:ascii="黑体" w:eastAsia="黑体" w:hAnsi="黑体"/>
          <w:b/>
          <w:sz w:val="24"/>
          <w:szCs w:val="24"/>
        </w:rPr>
      </w:pPr>
      <w:r>
        <w:rPr>
          <w:rFonts w:ascii="黑体" w:eastAsia="黑体" w:hAnsi="黑体" w:hint="eastAsia"/>
          <w:b/>
          <w:sz w:val="24"/>
          <w:szCs w:val="24"/>
        </w:rPr>
        <w:t>6.1</w:t>
      </w:r>
      <w:r>
        <w:rPr>
          <w:rFonts w:ascii="黑体" w:eastAsia="黑体" w:hAnsi="黑体" w:hint="eastAsia"/>
          <w:b/>
          <w:sz w:val="24"/>
          <w:szCs w:val="24"/>
        </w:rPr>
        <w:t>探索标准所涉专利及非专利技术权利协调的模式</w:t>
      </w:r>
    </w:p>
    <w:p w:rsidR="00EB314D" w:rsidRDefault="00F100E7">
      <w:pPr>
        <w:spacing w:line="360" w:lineRule="auto"/>
        <w:ind w:firstLine="480"/>
        <w:rPr>
          <w:rFonts w:ascii="宋体" w:hAnsi="宋体"/>
          <w:sz w:val="24"/>
          <w:szCs w:val="24"/>
        </w:rPr>
      </w:pPr>
      <w:r>
        <w:rPr>
          <w:rFonts w:ascii="宋体" w:hAnsi="宋体" w:hint="eastAsia"/>
          <w:sz w:val="24"/>
          <w:szCs w:val="24"/>
        </w:rPr>
        <w:t>标准涉及非专利技术和专利的处置问题，一项标准往往涉及多项技术或专利，所有权人可以获得交叉许可和分享对外许可的收益资格，联盟应建立知识产权管理的机构，探索通过完善契约等方式</w:t>
      </w:r>
      <w:r>
        <w:rPr>
          <w:rFonts w:ascii="宋体" w:hAnsi="宋体" w:hint="eastAsia"/>
          <w:sz w:val="24"/>
          <w:szCs w:val="24"/>
        </w:rPr>
        <w:t>，确定标准涉及专利和非专利技术的处理原则、处理标准和收益分配办法。</w:t>
      </w:r>
    </w:p>
    <w:p w:rsidR="00EB314D" w:rsidRDefault="00F100E7">
      <w:pPr>
        <w:spacing w:line="360" w:lineRule="auto"/>
        <w:ind w:firstLine="482"/>
        <w:rPr>
          <w:rFonts w:ascii="黑体" w:eastAsia="黑体" w:hAnsi="黑体"/>
          <w:b/>
          <w:sz w:val="24"/>
          <w:szCs w:val="24"/>
        </w:rPr>
      </w:pPr>
      <w:r>
        <w:rPr>
          <w:rFonts w:ascii="黑体" w:eastAsia="黑体" w:hAnsi="黑体" w:hint="eastAsia"/>
          <w:b/>
          <w:sz w:val="24"/>
          <w:szCs w:val="24"/>
        </w:rPr>
        <w:t>6.2</w:t>
      </w:r>
      <w:r>
        <w:rPr>
          <w:rFonts w:ascii="黑体" w:eastAsia="黑体" w:hAnsi="黑体" w:hint="eastAsia"/>
          <w:b/>
          <w:sz w:val="24"/>
          <w:szCs w:val="24"/>
        </w:rPr>
        <w:t>按照不同类型的联盟标准采取多种形式的支持鼓励措施</w:t>
      </w:r>
    </w:p>
    <w:p w:rsidR="00EB314D" w:rsidRDefault="00F100E7">
      <w:pPr>
        <w:spacing w:line="360" w:lineRule="auto"/>
        <w:ind w:firstLine="480"/>
        <w:rPr>
          <w:rFonts w:ascii="宋体" w:hAnsi="宋体"/>
          <w:sz w:val="24"/>
          <w:szCs w:val="24"/>
        </w:rPr>
      </w:pPr>
      <w:r>
        <w:rPr>
          <w:rFonts w:ascii="宋体" w:hAnsi="宋体" w:hint="eastAsia"/>
          <w:sz w:val="24"/>
          <w:szCs w:val="24"/>
        </w:rPr>
        <w:t>在战略性较强的重点产业领域，选择一批联盟开展标准化试点，开展标准制定和实施示范工程，对典型的应用模式给予奖励，结合政府采购、融资支持、项目资助、评奖引导等措施，给予一定的政策倾斜和优先支持。通过一批联盟的宣传和示范，带动联盟标准的推广应用。</w:t>
      </w:r>
    </w:p>
    <w:p w:rsidR="00EB314D" w:rsidRDefault="00F100E7">
      <w:pPr>
        <w:spacing w:line="360" w:lineRule="auto"/>
        <w:ind w:firstLine="480"/>
        <w:rPr>
          <w:rFonts w:ascii="宋体" w:hAnsi="宋体"/>
          <w:sz w:val="24"/>
          <w:szCs w:val="24"/>
        </w:rPr>
      </w:pPr>
      <w:r>
        <w:rPr>
          <w:rFonts w:ascii="宋体" w:hAnsi="宋体" w:hint="eastAsia"/>
          <w:sz w:val="24"/>
          <w:szCs w:val="24"/>
        </w:rPr>
        <w:t>对于强制性的联盟标准，如有前瞻性、引领性，探索将其转化为国家标准的途径；对于推荐性联盟标准，标准化管理部门可开辟专门渠道，对联盟标准</w:t>
      </w:r>
      <w:r>
        <w:rPr>
          <w:rFonts w:ascii="宋体" w:hAnsi="宋体" w:hint="eastAsia"/>
          <w:sz w:val="24"/>
          <w:szCs w:val="24"/>
        </w:rPr>
        <w:lastRenderedPageBreak/>
        <w:t>实施备案管理，</w:t>
      </w:r>
      <w:r>
        <w:rPr>
          <w:rFonts w:ascii="宋体" w:hAnsi="宋体" w:hint="eastAsia"/>
          <w:sz w:val="24"/>
          <w:szCs w:val="24"/>
        </w:rPr>
        <w:t>指导联盟开展标准化工作。</w:t>
      </w:r>
    </w:p>
    <w:p w:rsidR="00EB314D" w:rsidRDefault="00F100E7">
      <w:pPr>
        <w:spacing w:line="360" w:lineRule="auto"/>
        <w:ind w:firstLine="480"/>
        <w:rPr>
          <w:rFonts w:ascii="宋体" w:hAnsi="宋体"/>
          <w:sz w:val="24"/>
          <w:szCs w:val="24"/>
        </w:rPr>
      </w:pPr>
      <w:r>
        <w:rPr>
          <w:rFonts w:ascii="宋体" w:hAnsi="宋体" w:hint="eastAsia"/>
          <w:sz w:val="24"/>
          <w:szCs w:val="24"/>
        </w:rPr>
        <w:t>在政府采购条件中增加采用联盟标准，能够直接促进联盟标准实施。</w:t>
      </w:r>
    </w:p>
    <w:p w:rsidR="00EB314D" w:rsidRDefault="00F100E7">
      <w:pPr>
        <w:spacing w:line="360" w:lineRule="auto"/>
        <w:ind w:firstLine="482"/>
        <w:rPr>
          <w:rFonts w:ascii="黑体" w:eastAsia="黑体" w:hAnsi="黑体"/>
          <w:b/>
          <w:sz w:val="24"/>
          <w:szCs w:val="24"/>
        </w:rPr>
      </w:pPr>
      <w:r>
        <w:rPr>
          <w:rFonts w:ascii="黑体" w:eastAsia="黑体" w:hAnsi="黑体" w:hint="eastAsia"/>
          <w:b/>
          <w:sz w:val="24"/>
          <w:szCs w:val="24"/>
        </w:rPr>
        <w:t>6.3</w:t>
      </w:r>
      <w:r>
        <w:rPr>
          <w:rFonts w:ascii="黑体" w:eastAsia="黑体" w:hAnsi="黑体" w:hint="eastAsia"/>
          <w:b/>
          <w:sz w:val="24"/>
          <w:szCs w:val="24"/>
        </w:rPr>
        <w:t>促进联盟之间的交流合作</w:t>
      </w:r>
    </w:p>
    <w:p w:rsidR="00EB314D" w:rsidRDefault="00F100E7">
      <w:pPr>
        <w:spacing w:line="360" w:lineRule="auto"/>
        <w:ind w:firstLine="480"/>
        <w:rPr>
          <w:rFonts w:ascii="宋体" w:hAnsi="宋体"/>
          <w:sz w:val="24"/>
          <w:szCs w:val="24"/>
        </w:rPr>
      </w:pPr>
      <w:r>
        <w:rPr>
          <w:rFonts w:ascii="宋体" w:hAnsi="宋体" w:hint="eastAsia"/>
          <w:sz w:val="24"/>
          <w:szCs w:val="24"/>
        </w:rPr>
        <w:t>通过经验交流、项目合作等，联盟之间可加强标准方面的交流合作；科技管理部门和标准化管理部门加强与联盟自组织机构的沟通交流，依托联盟自律组织对各联盟开展标准活动进行规范、交流和推广。</w:t>
      </w:r>
    </w:p>
    <w:p w:rsidR="00EB314D" w:rsidRDefault="00EB314D">
      <w:pPr>
        <w:rPr>
          <w:rFonts w:ascii="仿宋_GB2312" w:eastAsia="仿宋_GB2312" w:hAnsi="仿宋_GB2312"/>
          <w:sz w:val="28"/>
          <w:szCs w:val="28"/>
        </w:rPr>
      </w:pPr>
    </w:p>
    <w:p w:rsidR="00EB314D" w:rsidRDefault="00F100E7">
      <w:pPr>
        <w:rPr>
          <w:rFonts w:ascii="仿宋_GB2312" w:eastAsia="仿宋_GB2312" w:hAnsi="仿宋_GB2312"/>
          <w:sz w:val="24"/>
          <w:szCs w:val="24"/>
        </w:rPr>
      </w:pPr>
      <w:r>
        <w:rPr>
          <w:rFonts w:ascii="仿宋_GB2312" w:eastAsia="仿宋_GB2312" w:hAnsi="仿宋_GB2312" w:hint="eastAsia"/>
          <w:sz w:val="24"/>
          <w:szCs w:val="24"/>
        </w:rPr>
        <w:t>参考文献：</w:t>
      </w:r>
    </w:p>
    <w:p w:rsidR="00EB314D" w:rsidRDefault="00F100E7">
      <w:pPr>
        <w:rPr>
          <w:rFonts w:ascii="仿宋_GB2312" w:eastAsia="仿宋_GB2312" w:hAnsi="仿宋_GB2312"/>
          <w:sz w:val="24"/>
          <w:szCs w:val="24"/>
        </w:rPr>
      </w:pPr>
      <w:r>
        <w:rPr>
          <w:rFonts w:ascii="仿宋_GB2312" w:eastAsia="仿宋_GB2312" w:hAnsi="仿宋_GB2312" w:hint="eastAsia"/>
          <w:sz w:val="24"/>
          <w:szCs w:val="24"/>
        </w:rPr>
        <w:t>[1]</w:t>
      </w:r>
      <w:r>
        <w:rPr>
          <w:rFonts w:ascii="仿宋_GB2312" w:eastAsia="仿宋_GB2312" w:hAnsi="仿宋_GB2312" w:hint="eastAsia"/>
          <w:sz w:val="24"/>
          <w:szCs w:val="24"/>
        </w:rPr>
        <w:t>王忠敏，联盟标准——机遇和挑战</w:t>
      </w:r>
      <w:r>
        <w:rPr>
          <w:rFonts w:ascii="仿宋_GB2312" w:eastAsia="仿宋_GB2312" w:hAnsi="仿宋_GB2312" w:hint="eastAsia"/>
          <w:sz w:val="24"/>
          <w:szCs w:val="24"/>
        </w:rPr>
        <w:t>[J]</w:t>
      </w:r>
      <w:r>
        <w:rPr>
          <w:rFonts w:ascii="仿宋_GB2312" w:eastAsia="仿宋_GB2312" w:hAnsi="仿宋_GB2312" w:hint="eastAsia"/>
          <w:sz w:val="24"/>
          <w:szCs w:val="24"/>
        </w:rPr>
        <w:t>，中国标准化，</w:t>
      </w:r>
      <w:r>
        <w:rPr>
          <w:rFonts w:ascii="仿宋_GB2312" w:eastAsia="仿宋_GB2312" w:hAnsi="仿宋_GB2312" w:hint="eastAsia"/>
          <w:sz w:val="24"/>
          <w:szCs w:val="24"/>
        </w:rPr>
        <w:t>2013.</w:t>
      </w:r>
      <w:r>
        <w:rPr>
          <w:rFonts w:ascii="仿宋_GB2312" w:eastAsia="仿宋_GB2312" w:hAnsi="仿宋_GB2312" w:hint="eastAsia"/>
          <w:sz w:val="24"/>
          <w:szCs w:val="24"/>
        </w:rPr>
        <w:t>（</w:t>
      </w:r>
      <w:r>
        <w:rPr>
          <w:rFonts w:ascii="仿宋_GB2312" w:eastAsia="仿宋_GB2312" w:hAnsi="仿宋_GB2312" w:hint="eastAsia"/>
          <w:sz w:val="24"/>
          <w:szCs w:val="24"/>
        </w:rPr>
        <w:t>1</w:t>
      </w:r>
      <w:r>
        <w:rPr>
          <w:rFonts w:ascii="仿宋_GB2312" w:eastAsia="仿宋_GB2312" w:hAnsi="仿宋_GB2312" w:hint="eastAsia"/>
          <w:sz w:val="24"/>
          <w:szCs w:val="24"/>
        </w:rPr>
        <w:t>）：</w:t>
      </w:r>
      <w:r>
        <w:rPr>
          <w:rFonts w:ascii="仿宋_GB2312" w:eastAsia="仿宋_GB2312" w:hAnsi="仿宋_GB2312" w:hint="eastAsia"/>
          <w:sz w:val="24"/>
          <w:szCs w:val="24"/>
        </w:rPr>
        <w:t>47.</w:t>
      </w:r>
    </w:p>
    <w:p w:rsidR="00EB314D" w:rsidRDefault="00F100E7">
      <w:pPr>
        <w:rPr>
          <w:rFonts w:ascii="仿宋_GB2312" w:eastAsia="仿宋_GB2312" w:hAnsi="仿宋_GB2312"/>
          <w:sz w:val="24"/>
          <w:szCs w:val="24"/>
        </w:rPr>
      </w:pPr>
      <w:r>
        <w:rPr>
          <w:rFonts w:ascii="仿宋_GB2312" w:eastAsia="仿宋_GB2312" w:hAnsi="仿宋_GB2312" w:hint="eastAsia"/>
          <w:sz w:val="24"/>
          <w:szCs w:val="24"/>
        </w:rPr>
        <w:t>[2]</w:t>
      </w:r>
      <w:r>
        <w:rPr>
          <w:rFonts w:ascii="仿宋_GB2312" w:eastAsia="仿宋_GB2312" w:hAnsi="仿宋_GB2312" w:hint="eastAsia"/>
          <w:sz w:val="24"/>
          <w:szCs w:val="24"/>
        </w:rPr>
        <w:t>王修鹏，刘英，魏国红，联盟标准在区域产品质量安全中的作用</w:t>
      </w:r>
      <w:r>
        <w:rPr>
          <w:rFonts w:ascii="仿宋_GB2312" w:eastAsia="仿宋_GB2312" w:hAnsi="仿宋_GB2312" w:hint="eastAsia"/>
          <w:sz w:val="24"/>
          <w:szCs w:val="24"/>
        </w:rPr>
        <w:t xml:space="preserve">[J], </w:t>
      </w:r>
      <w:r>
        <w:rPr>
          <w:rFonts w:ascii="仿宋_GB2312" w:eastAsia="仿宋_GB2312" w:hAnsi="仿宋_GB2312" w:hint="eastAsia"/>
          <w:sz w:val="24"/>
          <w:szCs w:val="24"/>
        </w:rPr>
        <w:t>中国质量技术监督，</w:t>
      </w:r>
      <w:r>
        <w:rPr>
          <w:rFonts w:ascii="仿宋_GB2312" w:eastAsia="仿宋_GB2312" w:hAnsi="仿宋_GB2312" w:hint="eastAsia"/>
          <w:sz w:val="24"/>
          <w:szCs w:val="24"/>
        </w:rPr>
        <w:t>2010</w:t>
      </w:r>
      <w:r>
        <w:rPr>
          <w:rFonts w:ascii="仿宋_GB2312" w:eastAsia="仿宋_GB2312" w:hAnsi="仿宋_GB2312" w:hint="eastAsia"/>
          <w:sz w:val="24"/>
          <w:szCs w:val="24"/>
        </w:rPr>
        <w:t>，</w:t>
      </w:r>
      <w:r>
        <w:rPr>
          <w:rFonts w:ascii="仿宋_GB2312" w:eastAsia="仿宋_GB2312" w:hAnsi="仿宋_GB2312" w:hint="eastAsia"/>
          <w:sz w:val="24"/>
          <w:szCs w:val="24"/>
        </w:rPr>
        <w:t>(12):58.</w:t>
      </w:r>
    </w:p>
    <w:p w:rsidR="00EB314D" w:rsidRDefault="00F100E7">
      <w:pPr>
        <w:rPr>
          <w:rFonts w:ascii="仿宋_GB2312" w:eastAsia="仿宋_GB2312" w:hAnsi="仿宋_GB2312"/>
          <w:sz w:val="24"/>
          <w:szCs w:val="24"/>
        </w:rPr>
      </w:pPr>
      <w:r>
        <w:rPr>
          <w:rFonts w:ascii="仿宋_GB2312" w:eastAsia="仿宋_GB2312" w:hAnsi="仿宋_GB2312" w:hint="eastAsia"/>
          <w:sz w:val="24"/>
          <w:szCs w:val="24"/>
        </w:rPr>
        <w:t>[3]</w:t>
      </w:r>
      <w:r>
        <w:rPr>
          <w:sz w:val="24"/>
          <w:szCs w:val="24"/>
        </w:rPr>
        <w:t xml:space="preserve"> </w:t>
      </w:r>
      <w:r>
        <w:rPr>
          <w:rFonts w:ascii="仿宋_GB2312" w:eastAsia="仿宋_GB2312" w:hAnsi="仿宋_GB2312" w:hint="eastAsia"/>
          <w:sz w:val="24"/>
          <w:szCs w:val="24"/>
        </w:rPr>
        <w:t>赵朝义，值得关注的企业联盟标准</w:t>
      </w:r>
      <w:bookmarkStart w:id="1" w:name="OLE_LINK1"/>
      <w:bookmarkStart w:id="2" w:name="OLE_LINK2"/>
      <w:bookmarkStart w:id="3" w:name="OLE_LINK3"/>
      <w:bookmarkEnd w:id="1"/>
      <w:bookmarkEnd w:id="2"/>
      <w:bookmarkEnd w:id="3"/>
      <w:r>
        <w:rPr>
          <w:rFonts w:ascii="仿宋_GB2312" w:eastAsia="仿宋_GB2312" w:hAnsi="仿宋_GB2312" w:hint="eastAsia"/>
          <w:sz w:val="24"/>
          <w:szCs w:val="24"/>
        </w:rPr>
        <w:t>[J]</w:t>
      </w:r>
      <w:r>
        <w:rPr>
          <w:rFonts w:ascii="仿宋_GB2312" w:eastAsia="仿宋_GB2312" w:hAnsi="仿宋_GB2312" w:hint="eastAsia"/>
          <w:sz w:val="24"/>
          <w:szCs w:val="24"/>
        </w:rPr>
        <w:t>，世界标准信息，</w:t>
      </w:r>
      <w:r>
        <w:rPr>
          <w:rFonts w:ascii="仿宋_GB2312" w:eastAsia="仿宋_GB2312" w:hAnsi="仿宋_GB2312" w:hint="eastAsia"/>
          <w:sz w:val="24"/>
          <w:szCs w:val="24"/>
        </w:rPr>
        <w:t>2008</w:t>
      </w:r>
      <w:r>
        <w:rPr>
          <w:rFonts w:ascii="仿宋_GB2312" w:eastAsia="仿宋_GB2312" w:hAnsi="仿宋_GB2312" w:hint="eastAsia"/>
          <w:sz w:val="24"/>
          <w:szCs w:val="24"/>
        </w:rPr>
        <w:t>，</w:t>
      </w:r>
      <w:r>
        <w:rPr>
          <w:rFonts w:ascii="仿宋_GB2312" w:eastAsia="仿宋_GB2312" w:hAnsi="仿宋_GB2312" w:hint="eastAsia"/>
          <w:sz w:val="24"/>
          <w:szCs w:val="24"/>
        </w:rPr>
        <w:t>(5) : 22</w:t>
      </w:r>
      <w:r>
        <w:rPr>
          <w:rFonts w:ascii="仿宋_GB2312" w:eastAsia="仿宋_GB2312" w:hAnsi="仿宋_GB2312" w:hint="eastAsia"/>
          <w:sz w:val="24"/>
          <w:szCs w:val="24"/>
        </w:rPr>
        <w:t>．</w:t>
      </w:r>
    </w:p>
    <w:p w:rsidR="00EB314D" w:rsidRDefault="00F100E7">
      <w:pPr>
        <w:rPr>
          <w:rFonts w:ascii="仿宋_GB2312" w:eastAsia="仿宋_GB2312" w:hAnsi="仿宋_GB2312"/>
          <w:sz w:val="24"/>
          <w:szCs w:val="24"/>
        </w:rPr>
      </w:pPr>
      <w:r>
        <w:rPr>
          <w:rFonts w:ascii="仿宋_GB2312" w:eastAsia="仿宋_GB2312" w:hAnsi="仿宋_GB2312" w:hint="eastAsia"/>
          <w:sz w:val="24"/>
          <w:szCs w:val="24"/>
        </w:rPr>
        <w:t>[4]</w:t>
      </w:r>
      <w:r>
        <w:rPr>
          <w:sz w:val="24"/>
          <w:szCs w:val="24"/>
        </w:rPr>
        <w:t xml:space="preserve"> </w:t>
      </w:r>
      <w:r>
        <w:rPr>
          <w:rFonts w:ascii="仿宋_GB2312" w:eastAsia="仿宋_GB2312" w:hAnsi="仿宋_GB2312" w:hint="eastAsia"/>
          <w:sz w:val="24"/>
          <w:szCs w:val="24"/>
        </w:rPr>
        <w:t>郑昆和，全面开发产业联盟标准，机电元件，</w:t>
      </w:r>
      <w:r>
        <w:rPr>
          <w:rFonts w:ascii="仿宋_GB2312" w:eastAsia="仿宋_GB2312" w:hAnsi="仿宋_GB2312" w:hint="eastAsia"/>
          <w:sz w:val="24"/>
          <w:szCs w:val="24"/>
        </w:rPr>
        <w:t>2009</w:t>
      </w:r>
      <w:r>
        <w:rPr>
          <w:rFonts w:ascii="仿宋_GB2312" w:eastAsia="仿宋_GB2312" w:hAnsi="仿宋_GB2312" w:hint="eastAsia"/>
          <w:sz w:val="24"/>
          <w:szCs w:val="24"/>
        </w:rPr>
        <w:t>年第</w:t>
      </w:r>
      <w:r>
        <w:rPr>
          <w:rFonts w:ascii="仿宋_GB2312" w:eastAsia="仿宋_GB2312" w:hAnsi="仿宋_GB2312" w:hint="eastAsia"/>
          <w:sz w:val="24"/>
          <w:szCs w:val="24"/>
        </w:rPr>
        <w:t>2</w:t>
      </w:r>
      <w:r>
        <w:rPr>
          <w:rFonts w:ascii="仿宋_GB2312" w:eastAsia="仿宋_GB2312" w:hAnsi="仿宋_GB2312" w:hint="eastAsia"/>
          <w:sz w:val="24"/>
          <w:szCs w:val="24"/>
        </w:rPr>
        <w:t>期，</w:t>
      </w:r>
      <w:r>
        <w:rPr>
          <w:rFonts w:ascii="仿宋_GB2312" w:eastAsia="仿宋_GB2312" w:hAnsi="仿宋_GB2312" w:hint="eastAsia"/>
          <w:sz w:val="24"/>
          <w:szCs w:val="24"/>
        </w:rPr>
        <w:t>53-58.</w:t>
      </w:r>
    </w:p>
    <w:p w:rsidR="00EB314D" w:rsidRDefault="00F100E7">
      <w:pPr>
        <w:rPr>
          <w:rFonts w:ascii="仿宋_GB2312" w:eastAsia="仿宋_GB2312" w:hAnsi="仿宋_GB2312"/>
          <w:sz w:val="24"/>
          <w:szCs w:val="24"/>
        </w:rPr>
      </w:pPr>
      <w:r>
        <w:rPr>
          <w:rFonts w:ascii="仿宋_GB2312" w:eastAsia="仿宋_GB2312" w:hAnsi="仿宋_GB2312" w:hint="eastAsia"/>
          <w:sz w:val="24"/>
          <w:szCs w:val="24"/>
        </w:rPr>
        <w:t>[5]</w:t>
      </w:r>
      <w:r>
        <w:rPr>
          <w:sz w:val="24"/>
          <w:szCs w:val="24"/>
        </w:rPr>
        <w:t xml:space="preserve"> </w:t>
      </w:r>
      <w:r>
        <w:rPr>
          <w:rFonts w:ascii="仿宋_GB2312" w:eastAsia="仿宋_GB2312" w:hAnsi="仿宋_GB2312" w:hint="eastAsia"/>
          <w:sz w:val="24"/>
          <w:szCs w:val="24"/>
        </w:rPr>
        <w:t>李键，韩子燕，刘兰凯</w:t>
      </w:r>
      <w:r>
        <w:rPr>
          <w:rFonts w:ascii="仿宋_GB2312" w:eastAsia="仿宋_GB2312" w:hAnsi="仿宋_GB2312" w:hint="eastAsia"/>
          <w:sz w:val="24"/>
          <w:szCs w:val="24"/>
        </w:rPr>
        <w:t>,</w:t>
      </w:r>
      <w:r>
        <w:rPr>
          <w:sz w:val="24"/>
          <w:szCs w:val="24"/>
        </w:rPr>
        <w:t xml:space="preserve"> </w:t>
      </w:r>
      <w:r>
        <w:rPr>
          <w:rFonts w:ascii="仿宋_GB2312" w:eastAsia="仿宋_GB2312" w:hAnsi="仿宋_GB2312" w:hint="eastAsia"/>
          <w:sz w:val="24"/>
          <w:szCs w:val="24"/>
        </w:rPr>
        <w:t>产业联盟标准及其效力的理论探析</w:t>
      </w:r>
      <w:bookmarkStart w:id="4" w:name="OLE_LINK6"/>
      <w:bookmarkStart w:id="5" w:name="OLE_LINK7"/>
      <w:bookmarkEnd w:id="4"/>
      <w:bookmarkEnd w:id="5"/>
      <w:r>
        <w:rPr>
          <w:rFonts w:ascii="仿宋_GB2312" w:eastAsia="仿宋_GB2312" w:hAnsi="仿宋_GB2312" w:hint="eastAsia"/>
          <w:sz w:val="24"/>
          <w:szCs w:val="24"/>
        </w:rPr>
        <w:t>[J]</w:t>
      </w:r>
      <w:r>
        <w:rPr>
          <w:rFonts w:ascii="仿宋_GB2312" w:eastAsia="仿宋_GB2312" w:hAnsi="仿宋_GB2312" w:hint="eastAsia"/>
          <w:sz w:val="24"/>
          <w:szCs w:val="24"/>
        </w:rPr>
        <w:t>，经济问题探索，</w:t>
      </w:r>
      <w:r>
        <w:rPr>
          <w:rFonts w:ascii="仿宋_GB2312" w:eastAsia="仿宋_GB2312" w:hAnsi="仿宋_GB2312" w:hint="eastAsia"/>
          <w:sz w:val="24"/>
          <w:szCs w:val="24"/>
        </w:rPr>
        <w:t>2015</w:t>
      </w:r>
      <w:r>
        <w:rPr>
          <w:rFonts w:ascii="仿宋_GB2312" w:eastAsia="仿宋_GB2312" w:hAnsi="仿宋_GB2312" w:hint="eastAsia"/>
          <w:sz w:val="24"/>
          <w:szCs w:val="24"/>
        </w:rPr>
        <w:t>，（</w:t>
      </w:r>
      <w:r>
        <w:rPr>
          <w:rFonts w:ascii="仿宋_GB2312" w:eastAsia="仿宋_GB2312" w:hAnsi="仿宋_GB2312" w:hint="eastAsia"/>
          <w:sz w:val="24"/>
          <w:szCs w:val="24"/>
        </w:rPr>
        <w:t>6</w:t>
      </w:r>
      <w:r>
        <w:rPr>
          <w:rFonts w:ascii="仿宋_GB2312" w:eastAsia="仿宋_GB2312" w:hAnsi="仿宋_GB2312" w:hint="eastAsia"/>
          <w:sz w:val="24"/>
          <w:szCs w:val="24"/>
        </w:rPr>
        <w:t>）：</w:t>
      </w:r>
      <w:r>
        <w:rPr>
          <w:rFonts w:ascii="仿宋_GB2312" w:eastAsia="仿宋_GB2312" w:hAnsi="仿宋_GB2312" w:hint="eastAsia"/>
          <w:sz w:val="24"/>
          <w:szCs w:val="24"/>
        </w:rPr>
        <w:t>62.</w:t>
      </w:r>
    </w:p>
    <w:p w:rsidR="00EB314D" w:rsidRDefault="00F100E7">
      <w:pPr>
        <w:rPr>
          <w:rFonts w:ascii="仿宋_GB2312" w:eastAsia="仿宋_GB2312" w:hAnsi="仿宋_GB2312"/>
          <w:sz w:val="24"/>
          <w:szCs w:val="24"/>
        </w:rPr>
      </w:pPr>
      <w:r>
        <w:rPr>
          <w:rFonts w:ascii="仿宋_GB2312" w:eastAsia="仿宋_GB2312" w:hAnsi="仿宋_GB2312" w:hint="eastAsia"/>
          <w:sz w:val="24"/>
          <w:szCs w:val="24"/>
        </w:rPr>
        <w:t>[6]</w:t>
      </w:r>
      <w:r>
        <w:rPr>
          <w:rFonts w:ascii="仿宋_GB2312" w:eastAsia="仿宋_GB2312" w:hAnsi="仿宋_GB2312" w:hint="eastAsia"/>
          <w:sz w:val="24"/>
          <w:szCs w:val="24"/>
        </w:rPr>
        <w:t>麦绿波，联盟标准的理论和方法研讨</w:t>
      </w:r>
      <w:bookmarkStart w:id="6" w:name="OLE_LINK4"/>
      <w:bookmarkStart w:id="7" w:name="OLE_LINK5"/>
      <w:bookmarkEnd w:id="6"/>
      <w:bookmarkEnd w:id="7"/>
      <w:r>
        <w:rPr>
          <w:rFonts w:ascii="仿宋_GB2312" w:eastAsia="仿宋_GB2312" w:hAnsi="仿宋_GB2312" w:hint="eastAsia"/>
          <w:sz w:val="24"/>
          <w:szCs w:val="24"/>
        </w:rPr>
        <w:t>[J]</w:t>
      </w:r>
      <w:r>
        <w:rPr>
          <w:rFonts w:ascii="仿宋_GB2312" w:eastAsia="仿宋_GB2312" w:hAnsi="仿宋_GB2312" w:hint="eastAsia"/>
          <w:sz w:val="24"/>
          <w:szCs w:val="24"/>
        </w:rPr>
        <w:t>，中国标准化，</w:t>
      </w:r>
      <w:r>
        <w:rPr>
          <w:rFonts w:ascii="仿宋_GB2312" w:eastAsia="仿宋_GB2312" w:hAnsi="仿宋_GB2312" w:hint="eastAsia"/>
          <w:sz w:val="24"/>
          <w:szCs w:val="24"/>
        </w:rPr>
        <w:t>2013</w:t>
      </w:r>
      <w:r>
        <w:rPr>
          <w:rFonts w:ascii="仿宋_GB2312" w:eastAsia="仿宋_GB2312" w:hAnsi="仿宋_GB2312" w:hint="eastAsia"/>
          <w:sz w:val="24"/>
          <w:szCs w:val="24"/>
        </w:rPr>
        <w:t>，（</w:t>
      </w:r>
      <w:r>
        <w:rPr>
          <w:rFonts w:ascii="仿宋_GB2312" w:eastAsia="仿宋_GB2312" w:hAnsi="仿宋_GB2312" w:hint="eastAsia"/>
          <w:sz w:val="24"/>
          <w:szCs w:val="24"/>
        </w:rPr>
        <w:t>4</w:t>
      </w:r>
      <w:r>
        <w:rPr>
          <w:rFonts w:ascii="仿宋_GB2312" w:eastAsia="仿宋_GB2312" w:hAnsi="仿宋_GB2312" w:hint="eastAsia"/>
          <w:sz w:val="24"/>
          <w:szCs w:val="24"/>
        </w:rPr>
        <w:t>）：</w:t>
      </w:r>
      <w:r>
        <w:rPr>
          <w:rFonts w:ascii="仿宋_GB2312" w:eastAsia="仿宋_GB2312" w:hAnsi="仿宋_GB2312" w:hint="eastAsia"/>
          <w:sz w:val="24"/>
          <w:szCs w:val="24"/>
        </w:rPr>
        <w:t>62.</w:t>
      </w:r>
    </w:p>
    <w:p w:rsidR="00EB314D" w:rsidRDefault="00F100E7">
      <w:pPr>
        <w:rPr>
          <w:rFonts w:ascii="仿宋_GB2312" w:eastAsia="仿宋_GB2312" w:hAnsi="仿宋_GB2312"/>
          <w:sz w:val="24"/>
          <w:szCs w:val="24"/>
        </w:rPr>
      </w:pPr>
      <w:r>
        <w:rPr>
          <w:rFonts w:ascii="仿宋_GB2312" w:eastAsia="仿宋_GB2312" w:hAnsi="仿宋_GB2312" w:hint="eastAsia"/>
          <w:sz w:val="24"/>
          <w:szCs w:val="24"/>
        </w:rPr>
        <w:t>[7]</w:t>
      </w:r>
      <w:r>
        <w:rPr>
          <w:rFonts w:ascii="仿宋_GB2312" w:eastAsia="仿宋_GB2312" w:hAnsi="仿宋_GB2312" w:hint="eastAsia"/>
          <w:sz w:val="24"/>
          <w:szCs w:val="24"/>
        </w:rPr>
        <w:t>保罗·萨巴蒂尔，汉克·詹金斯</w:t>
      </w:r>
      <w:r>
        <w:rPr>
          <w:rFonts w:ascii="仿宋_GB2312" w:eastAsia="仿宋_GB2312" w:hAnsi="仿宋_GB2312" w:hint="eastAsia"/>
          <w:sz w:val="24"/>
          <w:szCs w:val="24"/>
        </w:rPr>
        <w:t>-</w:t>
      </w:r>
      <w:r>
        <w:rPr>
          <w:rFonts w:ascii="仿宋_GB2312" w:eastAsia="仿宋_GB2312" w:hAnsi="仿宋_GB2312" w:hint="eastAsia"/>
          <w:sz w:val="24"/>
          <w:szCs w:val="24"/>
        </w:rPr>
        <w:t>史密斯，《政策变迁与学习》</w:t>
      </w:r>
      <w:r>
        <w:rPr>
          <w:rFonts w:ascii="仿宋_GB2312" w:eastAsia="仿宋_GB2312" w:hAnsi="仿宋_GB2312" w:hint="eastAsia"/>
          <w:sz w:val="24"/>
          <w:szCs w:val="24"/>
        </w:rPr>
        <w:t>[M]</w:t>
      </w:r>
      <w:r>
        <w:rPr>
          <w:rFonts w:ascii="仿宋_GB2312" w:eastAsia="仿宋_GB2312" w:hAnsi="仿宋_GB2312" w:hint="eastAsia"/>
          <w:sz w:val="24"/>
          <w:szCs w:val="24"/>
        </w:rPr>
        <w:t>，</w:t>
      </w:r>
      <w:r>
        <w:rPr>
          <w:rFonts w:ascii="仿宋_GB2312" w:eastAsia="仿宋_GB2312" w:hAnsi="仿宋_GB2312" w:hint="eastAsia"/>
          <w:sz w:val="24"/>
          <w:szCs w:val="24"/>
        </w:rPr>
        <w:t>127</w:t>
      </w:r>
      <w:r>
        <w:rPr>
          <w:rFonts w:ascii="仿宋_GB2312" w:eastAsia="仿宋_GB2312" w:hAnsi="仿宋_GB2312" w:hint="eastAsia"/>
          <w:sz w:val="24"/>
          <w:szCs w:val="24"/>
        </w:rPr>
        <w:t>，北京大学出版社，</w:t>
      </w:r>
      <w:r>
        <w:rPr>
          <w:rFonts w:ascii="仿宋_GB2312" w:eastAsia="仿宋_GB2312" w:hAnsi="仿宋_GB2312" w:hint="eastAsia"/>
          <w:sz w:val="24"/>
          <w:szCs w:val="24"/>
        </w:rPr>
        <w:t>2011.</w:t>
      </w:r>
    </w:p>
    <w:p w:rsidR="00EB314D" w:rsidRDefault="00F100E7">
      <w:pPr>
        <w:rPr>
          <w:rFonts w:ascii="仿宋_GB2312" w:eastAsia="仿宋_GB2312" w:hAnsi="仿宋_GB2312"/>
          <w:sz w:val="24"/>
          <w:szCs w:val="24"/>
        </w:rPr>
      </w:pPr>
      <w:r>
        <w:rPr>
          <w:rFonts w:ascii="仿宋_GB2312" w:eastAsia="仿宋_GB2312" w:hAnsi="仿宋_GB2312" w:hint="eastAsia"/>
          <w:sz w:val="24"/>
          <w:szCs w:val="24"/>
        </w:rPr>
        <w:t>[8]</w:t>
      </w:r>
      <w:r>
        <w:t xml:space="preserve"> </w:t>
      </w:r>
      <w:r>
        <w:rPr>
          <w:rFonts w:ascii="仿宋_GB2312" w:eastAsia="仿宋_GB2312" w:hAnsi="仿宋_GB2312" w:hint="eastAsia"/>
          <w:sz w:val="24"/>
          <w:szCs w:val="24"/>
        </w:rPr>
        <w:t>中华人民共和国科学技术部，关于推动</w:t>
      </w:r>
      <w:r>
        <w:rPr>
          <w:rFonts w:ascii="仿宋_GB2312" w:eastAsia="仿宋_GB2312" w:hAnsi="仿宋_GB2312" w:hint="eastAsia"/>
          <w:sz w:val="24"/>
          <w:szCs w:val="24"/>
        </w:rPr>
        <w:t>产业技术创新战略联盟构建与发展的实施办法（试行）（国科发政</w:t>
      </w:r>
      <w:r>
        <w:rPr>
          <w:rFonts w:ascii="仿宋_GB2312" w:eastAsia="仿宋_GB2312" w:hAnsi="仿宋_GB2312" w:hint="eastAsia"/>
          <w:sz w:val="24"/>
          <w:szCs w:val="24"/>
        </w:rPr>
        <w:t>2009[648]</w:t>
      </w:r>
      <w:r>
        <w:rPr>
          <w:rFonts w:ascii="仿宋_GB2312" w:eastAsia="仿宋_GB2312" w:hAnsi="仿宋_GB2312" w:hint="eastAsia"/>
          <w:sz w:val="24"/>
          <w:szCs w:val="24"/>
        </w:rPr>
        <w:t>号）</w:t>
      </w:r>
      <w:r>
        <w:rPr>
          <w:rFonts w:ascii="仿宋_GB2312" w:eastAsia="仿宋_GB2312" w:hAnsi="仿宋_GB2312" w:hint="eastAsia"/>
          <w:sz w:val="24"/>
          <w:szCs w:val="24"/>
        </w:rPr>
        <w:t>[Z</w:t>
      </w:r>
      <w:r>
        <w:rPr>
          <w:rFonts w:ascii="仿宋_GB2312" w:eastAsia="仿宋_GB2312" w:hAnsi="仿宋_GB2312"/>
          <w:sz w:val="24"/>
          <w:szCs w:val="24"/>
        </w:rPr>
        <w:t>]</w:t>
      </w:r>
      <w:r>
        <w:rPr>
          <w:rFonts w:ascii="仿宋_GB2312" w:eastAsia="仿宋_GB2312" w:hAnsi="仿宋_GB2312" w:hint="eastAsia"/>
          <w:sz w:val="24"/>
          <w:szCs w:val="24"/>
        </w:rPr>
        <w:t>,2009-12-01.</w:t>
      </w:r>
    </w:p>
    <w:p w:rsidR="00EB314D" w:rsidRDefault="00F100E7">
      <w:pPr>
        <w:rPr>
          <w:rFonts w:ascii="仿宋_GB2312" w:eastAsia="仿宋_GB2312" w:hAnsi="仿宋_GB2312"/>
          <w:sz w:val="24"/>
          <w:szCs w:val="24"/>
        </w:rPr>
      </w:pPr>
      <w:r>
        <w:rPr>
          <w:rFonts w:ascii="仿宋_GB2312" w:eastAsia="仿宋_GB2312" w:hAnsi="仿宋_GB2312" w:hint="eastAsia"/>
          <w:sz w:val="24"/>
          <w:szCs w:val="24"/>
        </w:rPr>
        <w:t>[9]</w:t>
      </w:r>
      <w:r>
        <w:rPr>
          <w:rFonts w:ascii="仿宋_GB2312" w:eastAsia="仿宋_GB2312" w:hAnsi="仿宋_GB2312" w:hint="eastAsia"/>
          <w:sz w:val="24"/>
          <w:szCs w:val="24"/>
        </w:rPr>
        <w:t>李新男，创新“产学研结合”组织模式，构建产业技术创新战略联盟</w:t>
      </w:r>
      <w:r>
        <w:rPr>
          <w:rFonts w:ascii="仿宋_GB2312" w:eastAsia="仿宋_GB2312" w:hAnsi="仿宋_GB2312" w:hint="eastAsia"/>
          <w:sz w:val="24"/>
          <w:szCs w:val="24"/>
        </w:rPr>
        <w:t>[J]</w:t>
      </w:r>
      <w:r>
        <w:rPr>
          <w:rFonts w:ascii="仿宋_GB2312" w:eastAsia="仿宋_GB2312" w:hAnsi="仿宋_GB2312" w:hint="eastAsia"/>
          <w:sz w:val="24"/>
          <w:szCs w:val="24"/>
        </w:rPr>
        <w:t>，中国软科学，</w:t>
      </w:r>
      <w:r>
        <w:rPr>
          <w:rFonts w:ascii="仿宋_GB2312" w:eastAsia="仿宋_GB2312" w:hAnsi="仿宋_GB2312" w:hint="eastAsia"/>
          <w:sz w:val="24"/>
          <w:szCs w:val="24"/>
        </w:rPr>
        <w:t>2007,</w:t>
      </w:r>
      <w:r>
        <w:rPr>
          <w:rFonts w:ascii="仿宋_GB2312" w:eastAsia="仿宋_GB2312" w:hAnsi="仿宋_GB2312" w:hint="eastAsia"/>
          <w:sz w:val="24"/>
          <w:szCs w:val="24"/>
        </w:rPr>
        <w:t>（</w:t>
      </w:r>
      <w:r>
        <w:rPr>
          <w:rFonts w:ascii="仿宋_GB2312" w:eastAsia="仿宋_GB2312" w:hAnsi="仿宋_GB2312" w:hint="eastAsia"/>
          <w:sz w:val="24"/>
          <w:szCs w:val="24"/>
        </w:rPr>
        <w:t>5</w:t>
      </w:r>
      <w:r>
        <w:rPr>
          <w:rFonts w:ascii="仿宋_GB2312" w:eastAsia="仿宋_GB2312" w:hAnsi="仿宋_GB2312" w:hint="eastAsia"/>
          <w:sz w:val="24"/>
          <w:szCs w:val="24"/>
        </w:rPr>
        <w:t>）</w:t>
      </w:r>
      <w:r>
        <w:rPr>
          <w:rFonts w:ascii="仿宋_GB2312" w:eastAsia="仿宋_GB2312" w:hAnsi="仿宋_GB2312" w:hint="eastAsia"/>
          <w:sz w:val="24"/>
          <w:szCs w:val="24"/>
        </w:rPr>
        <w:t>:10.</w:t>
      </w:r>
    </w:p>
    <w:p w:rsidR="00787E3C" w:rsidRDefault="00787E3C" w:rsidP="00787E3C">
      <w:pPr>
        <w:jc w:val="center"/>
        <w:rPr>
          <w:rFonts w:ascii="Times New Roman" w:eastAsia="SimSun" w:hAnsi="Times New Roman"/>
          <w:sz w:val="17"/>
          <w:szCs w:val="20"/>
        </w:rPr>
      </w:pPr>
      <w:r>
        <w:rPr>
          <w:noProof/>
        </w:rPr>
        <w:pict>
          <v:rect id="_x0000_i1026" style="width:0;height:.65pt" o:hrpct="330" o:hrnoshade="t" o:hr="t" fillcolor="black" stroked="f"/>
        </w:pict>
      </w:r>
    </w:p>
    <w:p w:rsidR="00787E3C" w:rsidRDefault="00787E3C" w:rsidP="00787E3C">
      <w:pPr>
        <w:jc w:val="left"/>
        <w:rPr>
          <w:rFonts w:ascii="宋体" w:eastAsia="SimSun" w:hAnsi="宋体"/>
          <w:sz w:val="18"/>
          <w:szCs w:val="20"/>
        </w:rPr>
      </w:pPr>
      <w:r>
        <w:rPr>
          <w:rFonts w:eastAsia="SimSun"/>
          <w:sz w:val="18"/>
          <w:szCs w:val="20"/>
        </w:rPr>
        <w:t>[1] </w:t>
      </w:r>
      <w:r>
        <w:rPr>
          <w:rFonts w:ascii="宋体" w:eastAsia="SimSun" w:hAnsi="宋体"/>
          <w:sz w:val="18"/>
          <w:szCs w:val="20"/>
        </w:rPr>
        <w:t>邸晓燕（</w:t>
      </w:r>
      <w:r>
        <w:rPr>
          <w:rFonts w:eastAsia="SimSun"/>
          <w:sz w:val="18"/>
          <w:szCs w:val="20"/>
        </w:rPr>
        <w:t>1976-</w:t>
      </w:r>
      <w:r>
        <w:rPr>
          <w:rFonts w:ascii="宋体" w:eastAsia="SimSun" w:hAnsi="宋体"/>
          <w:sz w:val="18"/>
          <w:szCs w:val="20"/>
        </w:rPr>
        <w:t>），女，河北滦县人，副教授，经济学博士（后），研究方向：产业创新，技术转移。该成果得到北京社科基金</w:t>
      </w:r>
      <w:r>
        <w:rPr>
          <w:rFonts w:eastAsia="SimSun"/>
          <w:sz w:val="18"/>
          <w:szCs w:val="20"/>
        </w:rPr>
        <w:t>14JDJGB042</w:t>
      </w:r>
      <w:r>
        <w:rPr>
          <w:rFonts w:ascii="宋体" w:eastAsia="SimSun" w:hAnsi="宋体"/>
          <w:sz w:val="18"/>
          <w:szCs w:val="20"/>
        </w:rPr>
        <w:t>；科技创新战略研究专项</w:t>
      </w:r>
      <w:r>
        <w:rPr>
          <w:rFonts w:eastAsia="SimSun"/>
          <w:sz w:val="18"/>
          <w:szCs w:val="20"/>
        </w:rPr>
        <w:t>ZLY2015064</w:t>
      </w:r>
      <w:r>
        <w:rPr>
          <w:rFonts w:ascii="宋体" w:eastAsia="SimSun" w:hAnsi="宋体"/>
          <w:sz w:val="18"/>
          <w:szCs w:val="20"/>
        </w:rPr>
        <w:t>；</w:t>
      </w:r>
      <w:r>
        <w:rPr>
          <w:rFonts w:ascii="宋体" w:eastAsia="SimSun" w:hAnsi="宋体"/>
          <w:sz w:val="18"/>
          <w:szCs w:val="20"/>
        </w:rPr>
        <w:t>“</w:t>
      </w:r>
      <w:r>
        <w:rPr>
          <w:rFonts w:ascii="宋体" w:eastAsia="SimSun" w:hAnsi="宋体"/>
          <w:sz w:val="18"/>
          <w:szCs w:val="20"/>
        </w:rPr>
        <w:t>科学研究与研究生培养共建项目</w:t>
      </w:r>
      <w:r>
        <w:rPr>
          <w:rFonts w:ascii="宋体" w:eastAsia="SimSun" w:hAnsi="宋体"/>
          <w:sz w:val="18"/>
          <w:szCs w:val="20"/>
        </w:rPr>
        <w:t>—</w:t>
      </w:r>
      <w:r>
        <w:rPr>
          <w:rFonts w:ascii="宋体" w:eastAsia="SimSun" w:hAnsi="宋体"/>
          <w:sz w:val="18"/>
          <w:szCs w:val="20"/>
        </w:rPr>
        <w:t>科研基地</w:t>
      </w:r>
      <w:r>
        <w:rPr>
          <w:rFonts w:ascii="宋体" w:eastAsia="SimSun" w:hAnsi="宋体"/>
          <w:sz w:val="18"/>
          <w:szCs w:val="20"/>
        </w:rPr>
        <w:t>—</w:t>
      </w:r>
      <w:r>
        <w:rPr>
          <w:rFonts w:ascii="宋体" w:eastAsia="SimSun" w:hAnsi="宋体"/>
          <w:sz w:val="18"/>
          <w:szCs w:val="20"/>
        </w:rPr>
        <w:t>技术转移机构专业化研究：以北京市为样本</w:t>
      </w:r>
      <w:r>
        <w:rPr>
          <w:rFonts w:ascii="宋体" w:eastAsia="SimSun" w:hAnsi="宋体"/>
          <w:sz w:val="18"/>
          <w:szCs w:val="20"/>
        </w:rPr>
        <w:t>”</w:t>
      </w:r>
      <w:r>
        <w:rPr>
          <w:rFonts w:ascii="宋体" w:eastAsia="SimSun" w:hAnsi="宋体"/>
          <w:sz w:val="18"/>
          <w:szCs w:val="20"/>
        </w:rPr>
        <w:t>资助。</w:t>
      </w:r>
    </w:p>
    <w:p w:rsidR="00EB314D" w:rsidRDefault="00EB314D">
      <w:pPr>
        <w:rPr>
          <w:rFonts w:ascii="仿宋_GB2312" w:eastAsia="仿宋_GB2312" w:hAnsi="仿宋_GB2312"/>
          <w:sz w:val="24"/>
          <w:szCs w:val="24"/>
        </w:rPr>
      </w:pPr>
    </w:p>
    <w:p w:rsidR="00EB314D" w:rsidRDefault="00EB314D">
      <w:pPr>
        <w:spacing w:line="360" w:lineRule="auto"/>
        <w:ind w:firstLine="480"/>
        <w:rPr>
          <w:rFonts w:ascii="宋体" w:hAnsi="宋体"/>
          <w:sz w:val="24"/>
          <w:szCs w:val="24"/>
        </w:rPr>
      </w:pPr>
    </w:p>
    <w:sectPr w:rsidR="00EB314D" w:rsidSect="00EB314D">
      <w:endnotePr>
        <w:numFmt w:val="decimal"/>
      </w:endnotePr>
      <w:pgSz w:w="11906" w:h="16838"/>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SimSun">
    <w:altName w:val="Verdana"/>
    <w:charset w:val="00"/>
    <w:family w:val="auto"/>
    <w:pitch w:val="default"/>
    <w:sig w:usb0="00000000" w:usb1="00000000" w:usb2="00000000" w:usb3="00000000" w:csb0="00000000" w:csb1="00000000"/>
  </w:font>
  <w:font w:name="仿宋_GB2312">
    <w:altName w:val="MS Mincho"/>
    <w:charset w:val="86"/>
    <w:family w:val="moder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A09DD"/>
    <w:multiLevelType w:val="multilevel"/>
    <w:tmpl w:val="014615CC"/>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nsid w:val="548F2DC5"/>
    <w:multiLevelType w:val="singleLevel"/>
    <w:tmpl w:val="4CBC6128"/>
    <w:name w:val="Bullet 1"/>
    <w:lvl w:ilvl="0">
      <w:numFmt w:val="none"/>
      <w:lvlText w:val="%1"/>
      <w:lvlJc w:val="left"/>
      <w:pPr>
        <w:tabs>
          <w:tab w:val="num" w:pos="0"/>
        </w:tabs>
        <w:ind w:left="0" w:firstLine="0"/>
      </w:pPr>
    </w:lvl>
  </w:abstractNum>
  <w:abstractNum w:abstractNumId="2">
    <w:nsid w:val="694B2873"/>
    <w:multiLevelType w:val="singleLevel"/>
    <w:tmpl w:val="F2EE1E80"/>
    <w:name w:val="Bullet 2"/>
    <w:lvl w:ilvl="0">
      <w:start w:val="2"/>
      <w:numFmt w:val="decimal"/>
      <w:lvlText w:val="%1"/>
      <w:lvlJc w:val="left"/>
      <w:pPr>
        <w:tabs>
          <w:tab w:val="num" w:pos="0"/>
        </w:tabs>
        <w:ind w:left="0" w:firstLine="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characterSpacingControl w:val="doNotCompress"/>
  <w:endnotePr>
    <w:numFmt w:val="decimal"/>
  </w:endnotePr>
  <w:compat>
    <w:doNotExpandShiftReturn/>
    <w:useFELayout/>
  </w:compat>
  <w:rsids>
    <w:rsidRoot w:val="00EB314D"/>
    <w:rsid w:val="00787E3C"/>
    <w:rsid w:val="00EB314D"/>
    <w:rsid w:val="00F100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
        <o:r id="V:Rule2" type="connector" idref="#"/>
        <o:r id="V:Rule3" type="connector" idref="#"/>
        <o:r id="V:Rule4" type="connector" idref="#"/>
        <o:r id="V:Rule5" type="connector" idref="#"/>
        <o:r id="V:Rule6" type="connector" idref="#"/>
        <o:r id="V:Rule7" type="connector" idref="#"/>
        <o:r id="V:Rule8" type="connector" idref="#"/>
        <o:r id="V:Rule9" type="connector" idref="#"/>
        <o:r id="V:Rule10" type="connector" idref="#"/>
        <o:r id="V:Rule11" type="connector" idref="#"/>
        <o:r id="V:Rule22" type="connector" idref="#"/>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1"/>
        <w:sz w:val="21"/>
        <w:szCs w:val="22"/>
        <w:lang w:val="en-US" w:eastAsia="zh-CN" w:bidi="ar-SA"/>
      </w:rPr>
    </w:rPrDefault>
    <w:pPrDefault>
      <w:pPr>
        <w:widowControl w:val="0"/>
        <w:pBdr>
          <w:top w:val="none" w:sz="0" w:space="0" w:color="000000"/>
          <w:left w:val="none" w:sz="0" w:space="0" w:color="000000"/>
          <w:bottom w:val="none" w:sz="0" w:space="0" w:color="000000"/>
          <w:right w:val="none" w:sz="0" w:space="0" w:color="000000"/>
          <w:between w:val="none" w:sz="0" w:space="0" w:color="000000"/>
        </w:pBd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EB31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er">
    <w:name w:val="Footer"/>
    <w:qFormat/>
    <w:rsid w:val="00EB314D"/>
    <w:pPr>
      <w:pBdr>
        <w:top w:val="none" w:sz="0" w:space="3" w:color="000000"/>
        <w:left w:val="none" w:sz="0" w:space="3" w:color="000000"/>
        <w:bottom w:val="none" w:sz="0" w:space="3" w:color="000000"/>
        <w:right w:val="none" w:sz="0" w:space="3" w:color="000000"/>
      </w:pBdr>
      <w:tabs>
        <w:tab w:val="center" w:pos="4153"/>
        <w:tab w:val="right" w:pos="8306"/>
      </w:tabs>
      <w:jc w:val="left"/>
    </w:pPr>
    <w:rPr>
      <w:sz w:val="18"/>
      <w:szCs w:val="18"/>
    </w:rPr>
  </w:style>
  <w:style w:type="paragraph" w:customStyle="1" w:styleId="Header">
    <w:name w:val="Header"/>
    <w:qFormat/>
    <w:rsid w:val="00EB314D"/>
    <w:pPr>
      <w:pBdr>
        <w:top w:val="none" w:sz="0" w:space="3" w:color="000000"/>
        <w:left w:val="none" w:sz="0" w:space="3" w:color="000000"/>
        <w:bottom w:val="single" w:sz="6" w:space="1" w:color="000000"/>
        <w:right w:val="none" w:sz="0" w:space="3" w:color="000000"/>
      </w:pBdr>
      <w:tabs>
        <w:tab w:val="center" w:pos="4153"/>
        <w:tab w:val="right" w:pos="8306"/>
      </w:tabs>
      <w:jc w:val="center"/>
    </w:pPr>
    <w:rPr>
      <w:sz w:val="18"/>
      <w:szCs w:val="18"/>
    </w:rPr>
  </w:style>
  <w:style w:type="paragraph" w:customStyle="1" w:styleId="1">
    <w:name w:val="列出段落1"/>
    <w:qFormat/>
    <w:rsid w:val="00EB314D"/>
    <w:pPr>
      <w:pBdr>
        <w:top w:val="none" w:sz="0" w:space="3" w:color="000000"/>
        <w:left w:val="none" w:sz="0" w:space="3" w:color="000000"/>
        <w:bottom w:val="none" w:sz="0" w:space="3" w:color="000000"/>
        <w:right w:val="none" w:sz="0" w:space="3" w:color="000000"/>
      </w:pBdr>
      <w:ind w:firstLine="420"/>
    </w:pPr>
  </w:style>
  <w:style w:type="paragraph" w:customStyle="1" w:styleId="FootnoteText">
    <w:name w:val="Footnote Text"/>
    <w:qFormat/>
    <w:rsid w:val="00EB314D"/>
    <w:pPr>
      <w:pBdr>
        <w:top w:val="none" w:sz="0" w:space="3" w:color="000000"/>
        <w:left w:val="none" w:sz="0" w:space="3" w:color="000000"/>
        <w:bottom w:val="none" w:sz="0" w:space="3" w:color="000000"/>
        <w:right w:val="none" w:sz="0" w:space="3" w:color="000000"/>
      </w:pBdr>
      <w:jc w:val="left"/>
    </w:pPr>
    <w:rPr>
      <w:sz w:val="18"/>
      <w:szCs w:val="18"/>
    </w:rPr>
  </w:style>
  <w:style w:type="paragraph" w:styleId="a3">
    <w:name w:val="Normal (Web)"/>
    <w:qFormat/>
    <w:rsid w:val="00EB314D"/>
    <w:pPr>
      <w:widowControl/>
      <w:pBdr>
        <w:top w:val="none" w:sz="0" w:space="3" w:color="000000"/>
        <w:left w:val="none" w:sz="0" w:space="3" w:color="000000"/>
        <w:bottom w:val="none" w:sz="0" w:space="3" w:color="000000"/>
        <w:right w:val="none" w:sz="0" w:space="3" w:color="000000"/>
      </w:pBdr>
      <w:spacing w:before="100" w:beforeAutospacing="1" w:after="100" w:afterAutospacing="1"/>
      <w:jc w:val="left"/>
    </w:pPr>
    <w:rPr>
      <w:rFonts w:ascii="宋体" w:hAnsi="宋体" w:cs="宋体"/>
      <w:sz w:val="24"/>
      <w:szCs w:val="24"/>
    </w:rPr>
  </w:style>
  <w:style w:type="paragraph" w:styleId="a4">
    <w:name w:val="Balloon Text"/>
    <w:qFormat/>
    <w:rsid w:val="00EB314D"/>
    <w:rPr>
      <w:sz w:val="18"/>
      <w:szCs w:val="18"/>
    </w:rPr>
  </w:style>
  <w:style w:type="character" w:styleId="a5">
    <w:name w:val="Hyperlink"/>
    <w:rsid w:val="00EB314D"/>
    <w:rPr>
      <w:color w:val="136EC2"/>
      <w:u w:val="single"/>
    </w:rPr>
  </w:style>
  <w:style w:type="character" w:customStyle="1" w:styleId="Char">
    <w:name w:val="页眉 Char"/>
    <w:rsid w:val="00EB314D"/>
    <w:rPr>
      <w:sz w:val="18"/>
      <w:szCs w:val="18"/>
    </w:rPr>
  </w:style>
  <w:style w:type="character" w:customStyle="1" w:styleId="Char0">
    <w:name w:val="页脚 Char"/>
    <w:rsid w:val="00EB314D"/>
    <w:rPr>
      <w:sz w:val="18"/>
      <w:szCs w:val="18"/>
    </w:rPr>
  </w:style>
  <w:style w:type="character" w:customStyle="1" w:styleId="Char1">
    <w:name w:val="脚注文本 Char"/>
    <w:rsid w:val="00EB314D"/>
    <w:rPr>
      <w:sz w:val="18"/>
      <w:szCs w:val="18"/>
    </w:rPr>
  </w:style>
  <w:style w:type="character" w:customStyle="1" w:styleId="FootnoteReference">
    <w:name w:val="Footnote Reference"/>
    <w:rsid w:val="00EB314D"/>
    <w:rPr>
      <w:vertAlign w:val="superscript"/>
    </w:rPr>
  </w:style>
  <w:style w:type="character" w:customStyle="1" w:styleId="Char2">
    <w:name w:val="批注框文本 Char"/>
    <w:rsid w:val="00EB314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宋体" w:cs="Times New Roman"/>
        <w:kern w:val="1"/>
        <w:sz w:val="21"/>
        <w:szCs w:val="22"/>
        <w:lang w:val="en-us" w:eastAsia="zh-cn" w:bidi="ar-sa"/>
      </w:rPr>
    </w:rPrDefault>
    <w:pPrDefault>
      <w:pPr>
        <w:spacing/>
        <w:jc w:val="both"/>
        <w:widowControl w:val="0"/>
        <w:pBdr>
          <w:top w:val="none" w:sz="0" w:space="0" w:color="000000"/>
          <w:left w:val="none" w:sz="0" w:space="0" w:color="000000"/>
          <w:bottom w:val="none" w:sz="0" w:space="0" w:color="000000"/>
          <w:right w:val="none" w:sz="0" w:space="0" w:color="000000"/>
          <w:between w:val="none" w:sz="0" w:space="0" w:color="000000"/>
        </w:pBdr>
        <w:shd w:val="no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Footer"/>
    <w:qFormat/>
    <w:pPr>
      <w:spacing/>
      <w:jc w:val="left"/>
      <w:tabs>
        <w:tab w:val="center" w:pos="4153" w:leader="none"/>
        <w:tab w:val="right" w:pos="8306" w:leader="none"/>
      </w:tabs>
      <w:pBdr>
        <w:top w:val="none" w:sz="0" w:space="3" w:color="000000"/>
        <w:left w:val="none" w:sz="0" w:space="3" w:color="000000"/>
        <w:bottom w:val="none" w:sz="0" w:space="3" w:color="000000"/>
        <w:right w:val="none" w:sz="0" w:space="3" w:color="000000"/>
        <w:between w:val="none" w:sz="0" w:space="0" w:color="000000"/>
      </w:pBdr>
      <w:shd w:val="none"/>
    </w:pPr>
    <w:rPr>
      <w:sz w:val="18"/>
      <w:szCs w:val="18"/>
    </w:rPr>
  </w:style>
  <w:style w:type="paragraph" w:styleId="">
    <w:name w:val="Header"/>
    <w:qFormat/>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1" w:customStyle="1">
    <w:name w:val="列出段落1"/>
    <w:qFormat/>
    <w:pPr>
      <w:ind w:firstLine="420"/>
      <w:pBdr>
        <w:top w:val="none" w:sz="0" w:space="3" w:color="000000"/>
        <w:left w:val="none" w:sz="0" w:space="3" w:color="000000"/>
        <w:bottom w:val="none" w:sz="0" w:space="3" w:color="000000"/>
        <w:right w:val="none" w:sz="0" w:space="3" w:color="000000"/>
        <w:between w:val="none" w:sz="0" w:space="0" w:color="000000"/>
      </w:pBdr>
      <w:shd w:val="none"/>
    </w:pPr>
  </w:style>
  <w:style w:type="paragraph" w:styleId="">
    <w:name w:val="Footnote Text"/>
    <w:qFormat/>
    <w:pPr>
      <w:spacing/>
      <w:jc w:val="left"/>
      <w:pBdr>
        <w:top w:val="none" w:sz="0" w:space="3" w:color="000000"/>
        <w:left w:val="none" w:sz="0" w:space="3" w:color="000000"/>
        <w:bottom w:val="none" w:sz="0" w:space="3" w:color="000000"/>
        <w:right w:val="none" w:sz="0" w:space="3" w:color="000000"/>
        <w:between w:val="none" w:sz="0" w:space="0" w:color="000000"/>
      </w:pBdr>
      <w:shd w:val="none"/>
    </w:pPr>
    <w:rPr>
      <w:sz w:val="18"/>
      <w:szCs w:val="18"/>
    </w:rPr>
  </w:style>
  <w:style w:type="paragraph" w:styleId="()">
    <w:name w:val="Normal (Web)"/>
    <w:qFormat/>
    <w:pPr>
      <w:spacing w:before="100" w:after="100" w:beforeAutospacing="1" w:afterAutospacing="1"/>
      <w:jc w:val="left"/>
      <w:widowControl/>
      <w:pBdr>
        <w:top w:val="none" w:sz="0" w:space="3" w:color="000000"/>
        <w:left w:val="none" w:sz="0" w:space="3" w:color="000000"/>
        <w:bottom w:val="none" w:sz="0" w:space="3" w:color="000000"/>
        <w:right w:val="none" w:sz="0" w:space="3" w:color="000000"/>
        <w:between w:val="none" w:sz="0" w:space="0" w:color="000000"/>
      </w:pBdr>
      <w:shd w:val="none"/>
    </w:pPr>
    <w:rPr>
      <w:rFonts w:ascii="宋体" w:hAnsi="宋体" w:cs="宋体"/>
      <w:sz w:val="24"/>
      <w:szCs w:val="24"/>
    </w:rPr>
  </w:style>
  <w:style w:type="paragraph" w:styleId="">
    <w:name w:val="Balloon Text"/>
    <w:qFormat/>
    <w:rPr>
      <w:sz w:val="18"/>
      <w:szCs w:val="18"/>
    </w:rPr>
  </w:style>
  <w:style w:type="character" w:styleId="" w:default="1">
    <w:name w:val="Default Paragraph Font"/>
    <w:rPr>
      <w:rFonts w:ascii="Times New Roman" w:hAnsi="Times New Roman"/>
      <w:kern w:val="0"/>
      <w:sz w:val="20"/>
      <w:szCs w:val="20"/>
    </w:rPr>
  </w:style>
  <w:style w:type="character" w:styleId="">
    <w:name w:val="Hyperlink"/>
    <w:rPr>
      <w:color w:val="136ec2"/>
      <w:u w:color="auto" w:val="single"/>
    </w:rPr>
  </w:style>
  <w:style w:type="character" w:styleId="Char" w:customStyle="1">
    <w:name w:val="页眉 Char"/>
    <w:rPr>
      <w:sz w:val="18"/>
      <w:szCs w:val="18"/>
    </w:rPr>
  </w:style>
  <w:style w:type="character" w:styleId="Char" w:customStyle="1">
    <w:name w:val="页脚 Char"/>
    <w:rPr>
      <w:sz w:val="18"/>
      <w:szCs w:val="18"/>
    </w:rPr>
  </w:style>
  <w:style w:type="character" w:styleId="Char" w:customStyle="1">
    <w:name w:val="脚注文本 Char"/>
    <w:rPr>
      <w:sz w:val="18"/>
      <w:szCs w:val="18"/>
    </w:rPr>
  </w:style>
  <w:style w:type="character" w:styleId="">
    <w:name w:val="Footnote Reference"/>
    <w:rPr>
      <w:vertAlign w:val="superscript"/>
    </w:rPr>
  </w:style>
  <w:style w:type="character" w:styleId="Char" w:customStyle="1">
    <w:name w:val="批注框文本 Cha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932098.htm" TargetMode="External"/><Relationship Id="rId3" Type="http://schemas.openxmlformats.org/officeDocument/2006/relationships/settings" Target="settings.xml"/><Relationship Id="rId7" Type="http://schemas.openxmlformats.org/officeDocument/2006/relationships/hyperlink" Target="http://baike.baidu.com/view/159332.ht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iki.mbalib.com/wiki/&#229;&#155;&#189;&#229;&#174;&#182;&#230;&#160;&#135;&#229;&#135;&#134;" TargetMode="External"/><Relationship Id="rId11" Type="http://schemas.openxmlformats.org/officeDocument/2006/relationships/theme" Target="theme/theme1.xml"/><Relationship Id="rId5" Type="http://schemas.openxmlformats.org/officeDocument/2006/relationships/hyperlink" Target="http://baike.baidu.com/view/33505.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ike.baidu.com/view/50004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1363</Words>
  <Characters>7772</Characters>
  <Application>Microsoft Office Word</Application>
  <DocSecurity>0</DocSecurity>
  <Lines>64</Lines>
  <Paragraphs>18</Paragraphs>
  <ScaleCrop>false</ScaleCrop>
  <Company/>
  <LinksUpToDate>false</LinksUpToDate>
  <CharactersWithSpaces>9117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创新标准化管理工作，推进</dc:title>
  <dc:creator>fayedi</dc:creator>
  <cp:lastModifiedBy>xbany</cp:lastModifiedBy>
  <cp:revision>2</cp:revision>
  <dcterms:created xsi:type="dcterms:W3CDTF">2017-10-21T07:34:00Z</dcterms:created>
  <dcterms:modified xsi:type="dcterms:W3CDTF">2017-10-21T07:34:00Z</dcterms:modified>
</cp:coreProperties>
</file>