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2E" w:rsidRDefault="009111AE">
      <w:pPr>
        <w:jc w:val="center"/>
        <w:rPr>
          <w:b/>
          <w:sz w:val="28"/>
          <w:szCs w:val="28"/>
        </w:rPr>
      </w:pPr>
      <w:r>
        <w:rPr>
          <w:b/>
          <w:sz w:val="28"/>
          <w:szCs w:val="28"/>
        </w:rPr>
        <w:t>工程项目高级规划风险分析及管理模型（</w:t>
      </w:r>
      <w:r>
        <w:rPr>
          <w:b/>
          <w:sz w:val="28"/>
          <w:szCs w:val="28"/>
        </w:rPr>
        <w:t>APRAM</w:t>
      </w:r>
      <w:r>
        <w:rPr>
          <w:b/>
          <w:sz w:val="28"/>
          <w:szCs w:val="28"/>
        </w:rPr>
        <w:t>）的建立</w:t>
      </w:r>
    </w:p>
    <w:p w:rsidR="009F692E" w:rsidRDefault="009111AE">
      <w:pPr>
        <w:jc w:val="center"/>
        <w:rPr>
          <w:b/>
          <w:sz w:val="18"/>
          <w:szCs w:val="18"/>
        </w:rPr>
      </w:pPr>
      <w:r>
        <w:rPr>
          <w:b/>
          <w:sz w:val="18"/>
          <w:szCs w:val="18"/>
        </w:rPr>
        <w:t>任</w:t>
      </w:r>
      <w:r>
        <w:rPr>
          <w:b/>
          <w:sz w:val="18"/>
          <w:szCs w:val="18"/>
        </w:rPr>
        <w:t xml:space="preserve">  </w:t>
      </w:r>
      <w:r>
        <w:rPr>
          <w:b/>
          <w:sz w:val="18"/>
          <w:szCs w:val="18"/>
        </w:rPr>
        <w:t>杰</w:t>
      </w:r>
      <w:r w:rsidR="009F692E">
        <w:rPr>
          <w:b/>
          <w:sz w:val="18"/>
          <w:szCs w:val="18"/>
          <w:vertAlign w:val="superscript"/>
        </w:rPr>
        <w:fldChar w:fldCharType="begin"/>
      </w:r>
      <w:r>
        <w:rPr>
          <w:b/>
          <w:sz w:val="18"/>
          <w:szCs w:val="18"/>
          <w:vertAlign w:val="superscript"/>
        </w:rPr>
        <w:instrText xml:space="preserve">= 1 \# "#,##0.xxxxxxxxxxxxxxxxxxxx" </w:instrText>
      </w:r>
      <w:r w:rsidR="009F692E">
        <w:rPr>
          <w:b/>
          <w:sz w:val="18"/>
          <w:szCs w:val="18"/>
          <w:vertAlign w:val="superscript"/>
        </w:rPr>
        <w:fldChar w:fldCharType="separate"/>
      </w:r>
      <w:r>
        <w:rPr>
          <w:b/>
          <w:sz w:val="18"/>
          <w:szCs w:val="18"/>
          <w:vertAlign w:val="superscript"/>
        </w:rPr>
        <w:t>1</w:t>
      </w:r>
      <w:r w:rsidR="009F692E">
        <w:rPr>
          <w:b/>
          <w:sz w:val="18"/>
          <w:szCs w:val="18"/>
          <w:vertAlign w:val="superscript"/>
        </w:rPr>
        <w:fldChar w:fldCharType="end"/>
      </w:r>
      <w:r w:rsidR="009F692E">
        <w:rPr>
          <w:b/>
          <w:sz w:val="18"/>
          <w:szCs w:val="18"/>
          <w:vertAlign w:val="superscript"/>
        </w:rPr>
        <w:fldChar w:fldCharType="begin"/>
      </w:r>
      <w:r>
        <w:rPr>
          <w:b/>
          <w:sz w:val="18"/>
          <w:szCs w:val="18"/>
          <w:vertAlign w:val="superscript"/>
        </w:rPr>
        <w:instrText xml:space="preserve">= 2 \# "#,##0.xxxxxxxxxxxxxxxxxxxx" </w:instrText>
      </w:r>
      <w:r w:rsidR="009F692E">
        <w:rPr>
          <w:b/>
          <w:sz w:val="18"/>
          <w:szCs w:val="18"/>
          <w:vertAlign w:val="superscript"/>
        </w:rPr>
        <w:fldChar w:fldCharType="separate"/>
      </w:r>
      <w:r>
        <w:rPr>
          <w:b/>
          <w:sz w:val="18"/>
          <w:szCs w:val="18"/>
          <w:vertAlign w:val="superscript"/>
        </w:rPr>
        <w:t>2</w:t>
      </w:r>
      <w:r w:rsidR="009F692E">
        <w:rPr>
          <w:b/>
          <w:sz w:val="18"/>
          <w:szCs w:val="18"/>
          <w:vertAlign w:val="superscript"/>
        </w:rPr>
        <w:fldChar w:fldCharType="end"/>
      </w:r>
    </w:p>
    <w:p w:rsidR="009F692E" w:rsidRDefault="009111AE">
      <w:pPr>
        <w:jc w:val="center"/>
        <w:rPr>
          <w:b/>
          <w:sz w:val="18"/>
          <w:szCs w:val="18"/>
        </w:rPr>
      </w:pPr>
      <w:r>
        <w:rPr>
          <w:b/>
          <w:sz w:val="18"/>
          <w:szCs w:val="18"/>
        </w:rPr>
        <w:t>（</w:t>
      </w:r>
      <w:r w:rsidR="009F692E">
        <w:rPr>
          <w:b/>
          <w:sz w:val="18"/>
          <w:szCs w:val="18"/>
        </w:rPr>
        <w:fldChar w:fldCharType="begin"/>
      </w:r>
      <w:r>
        <w:rPr>
          <w:b/>
          <w:sz w:val="18"/>
          <w:szCs w:val="18"/>
        </w:rPr>
        <w:instrText xml:space="preserve">= 1 \# "#,##0.xxxxxxxxxxxxxxxxxxxx" </w:instrText>
      </w:r>
      <w:r w:rsidR="009F692E">
        <w:rPr>
          <w:b/>
          <w:sz w:val="18"/>
          <w:szCs w:val="18"/>
        </w:rPr>
        <w:fldChar w:fldCharType="separate"/>
      </w:r>
      <w:r>
        <w:rPr>
          <w:b/>
          <w:sz w:val="18"/>
          <w:szCs w:val="18"/>
        </w:rPr>
        <w:t>1</w:t>
      </w:r>
      <w:r w:rsidR="009F692E">
        <w:rPr>
          <w:b/>
          <w:sz w:val="18"/>
          <w:szCs w:val="18"/>
        </w:rPr>
        <w:fldChar w:fldCharType="end"/>
      </w:r>
      <w:r>
        <w:rPr>
          <w:b/>
          <w:sz w:val="18"/>
          <w:szCs w:val="18"/>
        </w:rPr>
        <w:t>北京交通大学中国产业安全研究中心博士后科研工作站，北京，</w:t>
      </w:r>
      <w:r>
        <w:rPr>
          <w:b/>
          <w:sz w:val="18"/>
          <w:szCs w:val="18"/>
        </w:rPr>
        <w:t>100044</w:t>
      </w:r>
    </w:p>
    <w:p w:rsidR="009F692E" w:rsidRDefault="009F692E">
      <w:pPr>
        <w:jc w:val="center"/>
        <w:rPr>
          <w:b/>
          <w:sz w:val="18"/>
          <w:szCs w:val="18"/>
        </w:rPr>
      </w:pPr>
      <w:r>
        <w:rPr>
          <w:b/>
          <w:sz w:val="18"/>
          <w:szCs w:val="18"/>
        </w:rPr>
        <w:fldChar w:fldCharType="begin"/>
      </w:r>
      <w:r w:rsidR="009111AE">
        <w:rPr>
          <w:b/>
          <w:sz w:val="18"/>
          <w:szCs w:val="18"/>
        </w:rPr>
        <w:instrText xml:space="preserve">= 2 \# "#,##0.xxxxxxxxxxxxxxxxxxxx" </w:instrText>
      </w:r>
      <w:r>
        <w:rPr>
          <w:b/>
          <w:sz w:val="18"/>
          <w:szCs w:val="18"/>
        </w:rPr>
        <w:fldChar w:fldCharType="separate"/>
      </w:r>
      <w:r w:rsidR="009111AE">
        <w:rPr>
          <w:b/>
          <w:sz w:val="18"/>
          <w:szCs w:val="18"/>
        </w:rPr>
        <w:t>2</w:t>
      </w:r>
      <w:r>
        <w:rPr>
          <w:b/>
          <w:sz w:val="18"/>
          <w:szCs w:val="18"/>
        </w:rPr>
        <w:fldChar w:fldCharType="end"/>
      </w:r>
      <w:r w:rsidR="009111AE">
        <w:rPr>
          <w:b/>
          <w:sz w:val="18"/>
          <w:szCs w:val="18"/>
        </w:rPr>
        <w:t>宁夏大学土木与水利工程学院，银川，宁夏</w:t>
      </w:r>
      <w:r w:rsidR="009111AE">
        <w:rPr>
          <w:b/>
          <w:sz w:val="18"/>
          <w:szCs w:val="18"/>
        </w:rPr>
        <w:t xml:space="preserve"> 750021</w:t>
      </w:r>
      <w:r w:rsidR="009111AE">
        <w:rPr>
          <w:b/>
          <w:sz w:val="18"/>
          <w:szCs w:val="18"/>
        </w:rPr>
        <w:t>）</w:t>
      </w:r>
    </w:p>
    <w:p w:rsidR="009F692E" w:rsidRDefault="009F692E">
      <w:pPr>
        <w:jc w:val="center"/>
        <w:rPr>
          <w:b/>
          <w:sz w:val="18"/>
          <w:szCs w:val="18"/>
        </w:rPr>
      </w:pPr>
    </w:p>
    <w:p w:rsidR="009F692E" w:rsidRDefault="009111AE">
      <w:pPr>
        <w:jc w:val="left"/>
        <w:rPr>
          <w:b/>
          <w:sz w:val="18"/>
          <w:szCs w:val="18"/>
        </w:rPr>
      </w:pPr>
      <w:r>
        <w:rPr>
          <w:b/>
          <w:sz w:val="18"/>
          <w:szCs w:val="18"/>
        </w:rPr>
        <w:t>摘要：根据工程项目全寿命周期的特点，在传统的建设项目风险管理方法中考察项目技术风险和管理失败的风险，基于高级规划项目风险分析与管理模型（</w:t>
      </w:r>
      <w:r>
        <w:rPr>
          <w:b/>
          <w:sz w:val="18"/>
          <w:szCs w:val="18"/>
        </w:rPr>
        <w:t>APRAM</w:t>
      </w:r>
      <w:r>
        <w:rPr>
          <w:b/>
          <w:sz w:val="18"/>
          <w:szCs w:val="18"/>
        </w:rPr>
        <w:t>）框架构建工程项目风险管理模型，通过建设项目风险管理方法阐述本模型的使用过程，以期能为工程建筑企业风险管理提供新的思路与方法。</w:t>
      </w:r>
    </w:p>
    <w:p w:rsidR="009F692E" w:rsidRDefault="009111AE">
      <w:pPr>
        <w:jc w:val="left"/>
        <w:rPr>
          <w:b/>
          <w:sz w:val="18"/>
          <w:szCs w:val="18"/>
        </w:rPr>
      </w:pPr>
      <w:r>
        <w:rPr>
          <w:b/>
          <w:sz w:val="18"/>
          <w:szCs w:val="18"/>
        </w:rPr>
        <w:t>关键词：风险管理；建设项目；高级规划风险分析及管理模型</w:t>
      </w:r>
    </w:p>
    <w:p w:rsidR="009F692E" w:rsidRDefault="009111AE">
      <w:pPr>
        <w:pStyle w:val="TTPAddress"/>
        <w:rPr>
          <w:sz w:val="28"/>
          <w:szCs w:val="28"/>
        </w:rPr>
      </w:pPr>
      <w:r>
        <w:rPr>
          <w:sz w:val="28"/>
          <w:szCs w:val="28"/>
        </w:rPr>
        <w:t>The Programmatic Risk Analysis and Management Model planning i</w:t>
      </w:r>
      <w:r>
        <w:rPr>
          <w:sz w:val="28"/>
          <w:szCs w:val="28"/>
        </w:rPr>
        <w:t>n engineering project</w:t>
      </w:r>
    </w:p>
    <w:p w:rsidR="009F692E" w:rsidRDefault="009111AE">
      <w:pPr>
        <w:pStyle w:val="TTPAddress"/>
      </w:pPr>
      <w:r>
        <w:rPr>
          <w:szCs w:val="21"/>
        </w:rPr>
        <w:t>1.</w:t>
      </w:r>
      <w:r>
        <w:t>Postdoctoral Programme of China Industrial Economic Security Research Center of Beijing Jiaotong University, Beijing 100044.</w:t>
      </w:r>
    </w:p>
    <w:p w:rsidR="009F692E" w:rsidRDefault="009111AE">
      <w:pPr>
        <w:pStyle w:val="TTPAddress"/>
      </w:pPr>
      <w:r>
        <w:t>2.College of Civil and Hydraulic Engineering Ningxia University</w:t>
      </w:r>
      <w:r>
        <w:t>，</w:t>
      </w:r>
      <w:r>
        <w:t>Yinchuan</w:t>
      </w:r>
      <w:r>
        <w:t>，</w:t>
      </w:r>
      <w:r>
        <w:t>Ningxia 750021</w:t>
      </w:r>
    </w:p>
    <w:p w:rsidR="009F692E" w:rsidRDefault="009F692E">
      <w:pPr>
        <w:jc w:val="left"/>
        <w:rPr>
          <w:b/>
          <w:szCs w:val="21"/>
        </w:rPr>
      </w:pPr>
    </w:p>
    <w:p w:rsidR="009F692E" w:rsidRDefault="009111AE">
      <w:pPr>
        <w:jc w:val="left"/>
        <w:rPr>
          <w:b/>
          <w:sz w:val="18"/>
          <w:szCs w:val="18"/>
        </w:rPr>
      </w:pPr>
      <w:r>
        <w:rPr>
          <w:b/>
          <w:sz w:val="18"/>
          <w:szCs w:val="18"/>
        </w:rPr>
        <w:t>Abstract: Accordin</w:t>
      </w:r>
      <w:r>
        <w:rPr>
          <w:b/>
          <w:sz w:val="18"/>
          <w:szCs w:val="18"/>
        </w:rPr>
        <w:t>g to the characteristics of project's life cycle, this article applies the technical and managerial failure risks in the traditional risk management method. Based on the Programmatic Risk Analysis and Management Model(APRAM),the article constructs the Ente</w:t>
      </w:r>
      <w:r>
        <w:rPr>
          <w:b/>
          <w:sz w:val="18"/>
          <w:szCs w:val="18"/>
        </w:rPr>
        <w:t>rprise Project Risk Management Model(EPRMM), and expatiates  on the process and implementation of EPRMM by the use of the enterprise engineering project risk management in order to provide new ideas and methods for the enterprise project risk management.</w:t>
      </w:r>
    </w:p>
    <w:p w:rsidR="009F692E" w:rsidRDefault="009111AE">
      <w:pPr>
        <w:jc w:val="left"/>
        <w:rPr>
          <w:b/>
          <w:sz w:val="18"/>
          <w:szCs w:val="18"/>
        </w:rPr>
      </w:pPr>
      <w:r>
        <w:rPr>
          <w:b/>
          <w:sz w:val="18"/>
          <w:szCs w:val="18"/>
        </w:rPr>
        <w:t>K</w:t>
      </w:r>
      <w:r>
        <w:rPr>
          <w:b/>
          <w:sz w:val="18"/>
          <w:szCs w:val="18"/>
        </w:rPr>
        <w:t>ey words: risk management; construction project; Programmatic Risk Analysis and Management Model</w:t>
      </w:r>
    </w:p>
    <w:p w:rsidR="009F692E" w:rsidRDefault="009111AE">
      <w:pPr>
        <w:jc w:val="center"/>
        <w:rPr>
          <w:b/>
          <w:sz w:val="24"/>
          <w:szCs w:val="24"/>
        </w:rPr>
      </w:pPr>
      <w:r>
        <w:rPr>
          <w:b/>
          <w:sz w:val="24"/>
          <w:szCs w:val="24"/>
        </w:rPr>
        <w:t>一、引言</w:t>
      </w:r>
    </w:p>
    <w:p w:rsidR="009F692E" w:rsidRDefault="009111AE">
      <w:pPr>
        <w:ind w:firstLine="420"/>
        <w:jc w:val="left"/>
        <w:rPr>
          <w:szCs w:val="21"/>
        </w:rPr>
      </w:pPr>
      <w:r>
        <w:rPr>
          <w:szCs w:val="21"/>
        </w:rPr>
        <w:t>工程项目风险管理已成为项目投资管理的一个不可分割的部分。在目前全球经济环境下，许多工程项目面临着时间、资源和环境方面的约束。成功的建设工程项目需要在特定的施工方案要求下，按照预定的工作和预算资金约束，保质保量的完成任务。为了达到以上目标，施工企业需要配备充分的决策支持工具来对项目工期、成本和质量进行统筹规划</w:t>
      </w:r>
      <w:r>
        <w:rPr>
          <w:szCs w:val="21"/>
        </w:rPr>
        <w:t>。与此同时，还需要最大限度地降低项目失败的风险。因此，施工企业需要在设计和建设阶段就应权衡利弊，将建设项目各个阶段的风险降至最低。</w:t>
      </w:r>
    </w:p>
    <w:p w:rsidR="009F692E" w:rsidRDefault="009111AE">
      <w:pPr>
        <w:ind w:firstLine="420"/>
        <w:jc w:val="left"/>
        <w:rPr>
          <w:szCs w:val="21"/>
        </w:rPr>
      </w:pPr>
      <w:r>
        <w:rPr>
          <w:szCs w:val="21"/>
        </w:rPr>
        <w:t>APRAM</w:t>
      </w:r>
      <w:r>
        <w:rPr>
          <w:szCs w:val="21"/>
        </w:rPr>
        <w:t>模型首次由</w:t>
      </w:r>
      <w:r>
        <w:rPr>
          <w:szCs w:val="21"/>
        </w:rPr>
        <w:t>Dillon</w:t>
      </w:r>
      <w:r>
        <w:rPr>
          <w:szCs w:val="21"/>
        </w:rPr>
        <w:t>和</w:t>
      </w:r>
      <w:r>
        <w:rPr>
          <w:szCs w:val="21"/>
        </w:rPr>
        <w:t>Pate-Cornell</w:t>
      </w:r>
      <w:r>
        <w:rPr>
          <w:szCs w:val="21"/>
        </w:rPr>
        <w:t>（</w:t>
      </w:r>
      <w:r>
        <w:rPr>
          <w:szCs w:val="21"/>
        </w:rPr>
        <w:t>2001</w:t>
      </w:r>
      <w:r>
        <w:rPr>
          <w:szCs w:val="21"/>
        </w:rPr>
        <w:t>）提出，本文将</w:t>
      </w:r>
      <w:r>
        <w:rPr>
          <w:szCs w:val="21"/>
        </w:rPr>
        <w:t>APRAM</w:t>
      </w:r>
      <w:r>
        <w:rPr>
          <w:szCs w:val="21"/>
        </w:rPr>
        <w:t>（</w:t>
      </w:r>
      <w:r>
        <w:rPr>
          <w:szCs w:val="21"/>
        </w:rPr>
        <w:t>Advanced Programmatic Risk Analysis and Management model</w:t>
      </w:r>
      <w:r>
        <w:rPr>
          <w:szCs w:val="21"/>
        </w:rPr>
        <w:t>）翻译为高级规划风险分析及管理模型，它是一种决策支持工具，对管理者研究项目失败的风险有很大的帮助。但本文作者通过文献查询发现，国外很多学者对此进行了理论及实证方面的研究，</w:t>
      </w:r>
      <w:r>
        <w:rPr>
          <w:szCs w:val="21"/>
        </w:rPr>
        <w:t>Im</w:t>
      </w:r>
      <w:r>
        <w:rPr>
          <w:szCs w:val="21"/>
        </w:rPr>
        <w:t>beah</w:t>
      </w:r>
      <w:r>
        <w:rPr>
          <w:szCs w:val="21"/>
        </w:rPr>
        <w:t>（</w:t>
      </w:r>
      <w:r>
        <w:rPr>
          <w:szCs w:val="21"/>
        </w:rPr>
        <w:t>2009</w:t>
      </w:r>
      <w:r>
        <w:rPr>
          <w:szCs w:val="21"/>
        </w:rPr>
        <w:t>）和</w:t>
      </w:r>
      <w:r>
        <w:rPr>
          <w:szCs w:val="21"/>
        </w:rPr>
        <w:t>Zeynalian</w:t>
      </w:r>
      <w:r>
        <w:rPr>
          <w:szCs w:val="21"/>
        </w:rPr>
        <w:t>（</w:t>
      </w:r>
      <w:r>
        <w:rPr>
          <w:szCs w:val="21"/>
        </w:rPr>
        <w:t>2013</w:t>
      </w:r>
      <w:r>
        <w:rPr>
          <w:szCs w:val="21"/>
        </w:rPr>
        <w:t>）还将此模型应用于工程项目管理过程中，但我国学者对此模型进行较为深入研究的较少，更鲜有学者将此模型应用于我国的工程项目管理中。鉴于此，本文对此模型进行详细的介绍，然后根据我国的工程建设项目，将此模型具体应用于我的建设项目中，最后对该模型的优越性和局限性进行讨论，以期为我国工程建设项目的成功进行提供决策参考。</w:t>
      </w:r>
    </w:p>
    <w:p w:rsidR="009F692E" w:rsidRDefault="009111AE">
      <w:pPr>
        <w:jc w:val="center"/>
        <w:rPr>
          <w:b/>
          <w:sz w:val="24"/>
          <w:szCs w:val="24"/>
        </w:rPr>
      </w:pPr>
      <w:r>
        <w:rPr>
          <w:b/>
          <w:sz w:val="24"/>
          <w:szCs w:val="24"/>
        </w:rPr>
        <w:t>二、高级规划风险分析及管理模型（</w:t>
      </w:r>
      <w:r>
        <w:rPr>
          <w:b/>
          <w:sz w:val="24"/>
          <w:szCs w:val="24"/>
        </w:rPr>
        <w:t>APRAM</w:t>
      </w:r>
      <w:r>
        <w:rPr>
          <w:b/>
          <w:sz w:val="24"/>
          <w:szCs w:val="24"/>
        </w:rPr>
        <w:t>）</w:t>
      </w:r>
    </w:p>
    <w:p w:rsidR="009F692E" w:rsidRDefault="009111AE">
      <w:pPr>
        <w:ind w:firstLine="420"/>
        <w:jc w:val="left"/>
        <w:rPr>
          <w:szCs w:val="21"/>
        </w:rPr>
      </w:pPr>
      <w:r>
        <w:rPr>
          <w:szCs w:val="21"/>
        </w:rPr>
        <w:t>APRAM</w:t>
      </w:r>
      <w:r>
        <w:rPr>
          <w:szCs w:val="21"/>
        </w:rPr>
        <w:t>模型最早应用于航天工业界中，</w:t>
      </w:r>
      <w:r>
        <w:rPr>
          <w:szCs w:val="21"/>
        </w:rPr>
        <w:t>1992</w:t>
      </w:r>
      <w:r>
        <w:rPr>
          <w:szCs w:val="21"/>
        </w:rPr>
        <w:t>年美国宇航局（</w:t>
      </w:r>
      <w:r>
        <w:rPr>
          <w:szCs w:val="21"/>
        </w:rPr>
        <w:t>NASA</w:t>
      </w:r>
      <w:r>
        <w:rPr>
          <w:szCs w:val="21"/>
        </w:rPr>
        <w:t>）更是提出在有限的</w:t>
      </w:r>
      <w:r>
        <w:rPr>
          <w:szCs w:val="21"/>
        </w:rPr>
        <w:t>时间和资源的约束下完成</w:t>
      </w:r>
      <w:r>
        <w:rPr>
          <w:szCs w:val="21"/>
        </w:rPr>
        <w:t>“</w:t>
      </w:r>
      <w:r>
        <w:rPr>
          <w:szCs w:val="21"/>
        </w:rPr>
        <w:t>更快、更好、更省</w:t>
      </w:r>
      <w:r>
        <w:rPr>
          <w:szCs w:val="21"/>
        </w:rPr>
        <w:t>”</w:t>
      </w:r>
      <w:r>
        <w:rPr>
          <w:szCs w:val="21"/>
        </w:rPr>
        <w:t>的项目。这个模型最大的特点是试图产生一个使得项目质量系统更快，但相对于传统成本更低的方法，工程建设项目也可以采用这种模型对项目的管理进行优化。</w:t>
      </w:r>
      <w:r>
        <w:rPr>
          <w:szCs w:val="21"/>
        </w:rPr>
        <w:t>APRAM</w:t>
      </w:r>
      <w:r>
        <w:rPr>
          <w:szCs w:val="21"/>
        </w:rPr>
        <w:t>模型主要包括八个步骤（如图</w:t>
      </w:r>
      <w:r>
        <w:rPr>
          <w:szCs w:val="21"/>
        </w:rPr>
        <w:t>1</w:t>
      </w:r>
      <w:r>
        <w:rPr>
          <w:szCs w:val="21"/>
        </w:rPr>
        <w:t>所示）。关键点在于确定并识别三个可持续的最优化阶段。</w:t>
      </w:r>
    </w:p>
    <w:p w:rsidR="009F692E" w:rsidRDefault="009111AE">
      <w:pPr>
        <w:ind w:firstLine="420"/>
        <w:jc w:val="left"/>
        <w:rPr>
          <w:szCs w:val="21"/>
        </w:rPr>
      </w:pPr>
      <w:r>
        <w:rPr>
          <w:szCs w:val="21"/>
        </w:rPr>
        <w:t>第一阶段，首先是确定所有可行的技术方案，考虑到在项目资金预算约束的范围下，使用在最大限度地降低技术失败的概率中的费用。例如，在工程建设项目中，项目管理人员应该首先较准确的估算出建设过程中各个主要部分的预算，例如基础部分、主体部分以及最终</w:t>
      </w:r>
      <w:r>
        <w:rPr>
          <w:szCs w:val="21"/>
        </w:rPr>
        <w:t>装饰装修部分的初步成本。与此同时，还需要考虑项目建设中不同材料的使用情况，例如钢材、混凝土或木材的使用数量等等。然后，确定各个方案的最低成本和剩余预算，剩余预算是指项目总成本预算和每个可替代方案最小成本预算之间的差额。其次，是将剩余预算进行优化分配，并将可行的所有设计方案进行优化，选择最佳的技术方案。为了达</w:t>
      </w:r>
      <w:r>
        <w:rPr>
          <w:szCs w:val="21"/>
        </w:rPr>
        <w:lastRenderedPageBreak/>
        <w:t>到这个目的，在剩余预算的分配中可以提高技术方案方面的预算比例，这个问题可转变成为非线性优化问题，用于解决优化问题中可分配的总剩余预算成本可以从</w:t>
      </w:r>
      <w:r>
        <w:rPr>
          <w:szCs w:val="21"/>
        </w:rPr>
        <w:t>0</w:t>
      </w:r>
      <w:r>
        <w:rPr>
          <w:szCs w:val="21"/>
        </w:rPr>
        <w:t>到</w:t>
      </w:r>
      <w:r>
        <w:rPr>
          <w:szCs w:val="21"/>
        </w:rPr>
        <w:t>100%</w:t>
      </w:r>
      <w:r>
        <w:rPr>
          <w:szCs w:val="21"/>
        </w:rPr>
        <w:t>。</w:t>
      </w:r>
    </w:p>
    <w:p w:rsidR="009F692E" w:rsidRDefault="009111AE">
      <w:pPr>
        <w:ind w:firstLine="420"/>
        <w:jc w:val="left"/>
        <w:rPr>
          <w:szCs w:val="21"/>
        </w:rPr>
      </w:pPr>
      <w:r>
        <w:rPr>
          <w:szCs w:val="21"/>
        </w:rPr>
        <w:t>在第二阶段，首先确定超出管理风险外的潜在的储备</w:t>
      </w:r>
      <w:r>
        <w:rPr>
          <w:szCs w:val="21"/>
        </w:rPr>
        <w:t>预算，通过采用合适的优化策略，对每一个可行的方案将其风险最小化。优化策略的选择主要通过在所有可替代的技术设计方案，以及可降低所有潜在管理风险发生的基础上。这个步骤类似于第一阶段，但是在这个阶段的优化中主要采用计划和预算手段分配一部分预算用于降低项目的管理风险。</w:t>
      </w:r>
    </w:p>
    <w:p w:rsidR="009F692E" w:rsidRDefault="009111AE">
      <w:pPr>
        <w:ind w:firstLine="420"/>
        <w:jc w:val="left"/>
        <w:rPr>
          <w:szCs w:val="21"/>
        </w:rPr>
      </w:pPr>
      <w:r>
        <w:rPr>
          <w:szCs w:val="21"/>
        </w:rPr>
        <w:t>第三阶段是在同时考虑技术风险和管理风险的情况下，确定最佳的技术设计方案。每一个可行的技术设计方案都需要考虑不同比例的剩余预算，并且需要在不同决策偏好情况下，权衡项目的技术风险和管理风险比例。最终，项目管理者应该选择在考虑到项目失败的概率，以及相关的成本增加的风险条件下，能够提供项目最高价值的方案。如果这些条件不能满足，将会增加项目资源的分配，直到达到可替代性方案的可接受阈值。</w:t>
      </w:r>
    </w:p>
    <w:p w:rsidR="009F692E" w:rsidRDefault="009F692E">
      <w:pPr>
        <w:ind w:firstLine="420"/>
        <w:jc w:val="left"/>
        <w:rPr>
          <w:szCs w:val="21"/>
        </w:rPr>
      </w:pPr>
      <w:r w:rsidRPr="009F692E">
        <w:rPr>
          <w:noProof/>
        </w:rPr>
        <w:pict>
          <v:shapetype id="_x0000_t32" coordsize="21600,21600" o:spt="32" o:oned="t" path="m,l21600,21600e" filled="f">
            <v:path arrowok="t" fillok="f" o:connecttype="none"/>
            <o:lock v:ext="edit" shapetype="t"/>
          </v:shapetype>
          <v:shape id="连接线4" o:spid="_x0000_s1026" type="#_x0000_t32" style="position:absolute;left:0;text-align:left;margin-left:312.05pt;margin-top:120pt;width:.05pt;height:47.65pt;flip:y;z-index:251641856" o:connectortype="straight" adj="16200,16200,16200">
            <v:stroke endarrow="block"/>
          </v:shape>
        </w:pict>
      </w:r>
      <w:r w:rsidRPr="009F692E">
        <w:rPr>
          <w:noProof/>
        </w:rPr>
        <w:pict>
          <v:roundrect id="自选图形2" o:spid="_x0000_s1027" style="position:absolute;left:0;text-align:left;margin-left:7.75pt;margin-top:9pt;width:97pt;height:38.7pt;z-index:251642880" arcsize="10923f">
            <v:fill color2="black" angle="180"/>
            <v:textbox>
              <w:txbxContent>
                <w:p w:rsidR="009F692E" w:rsidRDefault="009111AE">
                  <w:pPr>
                    <w:rPr>
                      <w:sz w:val="18"/>
                      <w:szCs w:val="18"/>
                    </w:rPr>
                  </w:pPr>
                  <w:r>
                    <w:rPr>
                      <w:sz w:val="18"/>
                      <w:szCs w:val="18"/>
                    </w:rPr>
                    <w:t>确定所有可行的技术方案</w:t>
                  </w:r>
                </w:p>
              </w:txbxContent>
            </v:textbox>
          </v:roundrect>
        </w:pict>
      </w:r>
      <w:r w:rsidRPr="009F692E">
        <w:rPr>
          <w:noProof/>
        </w:rPr>
        <w:pict>
          <v:shape id="连接线1" o:spid="_x0000_s1028" type="#_x0000_t32" style="position:absolute;left:0;text-align:left;margin-left:104.75pt;margin-top:27.7pt;width:40.75pt;height:0;z-index:251643904" o:connectortype="straight" adj="16200,16200,16200">
            <v:stroke endarrow="block"/>
          </v:shape>
        </w:pict>
      </w:r>
      <w:r w:rsidRPr="009F692E">
        <w:rPr>
          <w:noProof/>
        </w:rPr>
        <w:pict>
          <v:roundrect id="自选图形1" o:spid="_x0000_s1029" style="position:absolute;left:0;text-align:left;margin-left:145.55pt;margin-top:9pt;width:94.85pt;height:38.7pt;z-index:251644928" arcsize="10923f">
            <v:fill color2="black" angle="180"/>
            <v:textbox>
              <w:txbxContent>
                <w:p w:rsidR="009F692E" w:rsidRDefault="009111AE">
                  <w:pPr>
                    <w:jc w:val="center"/>
                    <w:rPr>
                      <w:color w:val="333333"/>
                      <w:sz w:val="18"/>
                      <w:szCs w:val="18"/>
                    </w:rPr>
                  </w:pPr>
                  <w:r>
                    <w:rPr>
                      <w:color w:val="333333"/>
                      <w:sz w:val="18"/>
                      <w:szCs w:val="18"/>
                    </w:rPr>
                    <w:t>确定所有可行技术方案的组成部分</w:t>
                  </w:r>
                </w:p>
              </w:txbxContent>
            </v:textbox>
          </v:roundrect>
        </w:pict>
      </w:r>
      <w:r w:rsidRPr="009F692E">
        <w:rPr>
          <w:noProof/>
        </w:rPr>
        <w:pict>
          <v:roundrect id="自选图形6" o:spid="_x0000_s1030" style="position:absolute;left:0;text-align:left;margin-left:281.2pt;margin-top:9pt;width:87.4pt;height:38.7pt;z-index:251645952" arcsize="10923f">
            <v:fill color2="black" angle="180"/>
            <v:textbox>
              <w:txbxContent>
                <w:p w:rsidR="009F692E" w:rsidRDefault="009111AE">
                  <w:pPr>
                    <w:rPr>
                      <w:color w:val="333333"/>
                      <w:sz w:val="18"/>
                      <w:szCs w:val="18"/>
                    </w:rPr>
                  </w:pPr>
                  <w:r>
                    <w:rPr>
                      <w:color w:val="333333"/>
                      <w:sz w:val="18"/>
                      <w:szCs w:val="18"/>
                    </w:rPr>
                    <w:t>确定所有可行方案的最小成本</w:t>
                  </w:r>
                </w:p>
              </w:txbxContent>
            </v:textbox>
          </v:roundrect>
        </w:pict>
      </w:r>
      <w:r w:rsidRPr="009F692E">
        <w:rPr>
          <w:noProof/>
        </w:rPr>
        <w:pict>
          <v:roundrect id="自选图形4" o:spid="_x0000_s1031" style="position:absolute;left:0;text-align:left;margin-left:290.8pt;margin-top:79.3pt;width:87.4pt;height:42.25pt;z-index:251646976" arcsize="10923f">
            <v:fill color2="black" angle="180"/>
            <v:textbox>
              <w:txbxContent>
                <w:p w:rsidR="009F692E" w:rsidRDefault="009111AE">
                  <w:pPr>
                    <w:rPr>
                      <w:sz w:val="18"/>
                      <w:szCs w:val="18"/>
                    </w:rPr>
                  </w:pPr>
                  <w:r>
                    <w:rPr>
                      <w:color w:val="333333"/>
                      <w:sz w:val="18"/>
                      <w:szCs w:val="18"/>
                    </w:rPr>
                    <w:t>优化分配每个方案中</w:t>
                  </w:r>
                  <w:r>
                    <w:rPr>
                      <w:color w:val="333333"/>
                      <w:sz w:val="18"/>
                      <w:szCs w:val="18"/>
                    </w:rPr>
                    <w:t>的剩余预算</w:t>
                  </w:r>
                </w:p>
              </w:txbxContent>
            </v:textbox>
          </v:roundrect>
        </w:pict>
      </w:r>
      <w:r w:rsidRPr="009F692E">
        <w:rPr>
          <w:noProof/>
        </w:rPr>
        <w:pict>
          <v:shape id="连接线2" o:spid="_x0000_s1032" type="#_x0000_t32" style="position:absolute;left:0;text-align:left;margin-left:259.1pt;margin-top:100.3pt;width:31.65pt;height:.4pt;z-index:251648000" o:connectortype="straight" adj="16200,16200,16200">
            <v:stroke endarrow="block"/>
          </v:shape>
        </w:pict>
      </w:r>
      <w:r w:rsidRPr="009F692E">
        <w:rPr>
          <w:noProof/>
        </w:rPr>
        <w:pict>
          <v:roundrect id="自选图形3" o:spid="_x0000_s1033" style="position:absolute;left:0;text-align:left;margin-left:155.15pt;margin-top:79.3pt;width:104pt;height:42.25pt;z-index:251649024" arcsize="10923f">
            <v:fill color2="black" angle="180"/>
            <v:textbox>
              <w:txbxContent>
                <w:p w:rsidR="009F692E" w:rsidRDefault="009111AE">
                  <w:pPr>
                    <w:jc w:val="left"/>
                    <w:rPr>
                      <w:sz w:val="18"/>
                      <w:szCs w:val="18"/>
                    </w:rPr>
                  </w:pPr>
                  <w:r>
                    <w:rPr>
                      <w:color w:val="333333"/>
                      <w:sz w:val="18"/>
                      <w:szCs w:val="18"/>
                    </w:rPr>
                    <w:t>确定所有备选方案可能存在的管理风险</w:t>
                  </w:r>
                </w:p>
              </w:txbxContent>
            </v:textbox>
          </v:roundrect>
        </w:pict>
      </w:r>
      <w:r w:rsidRPr="009F692E">
        <w:rPr>
          <w:noProof/>
        </w:rPr>
        <w:pict>
          <v:roundrect id="自选图形5" o:spid="_x0000_s1034" style="position:absolute;left:0;text-align:left;margin-left:7.75pt;margin-top:164pt;width:113.6pt;height:42.25pt;z-index:251650048" arcsize="10923f">
            <v:fill color2="black" angle="180"/>
            <v:textbox>
              <w:txbxContent>
                <w:p w:rsidR="009F692E" w:rsidRDefault="009111AE">
                  <w:pPr>
                    <w:rPr>
                      <w:sz w:val="18"/>
                      <w:szCs w:val="18"/>
                    </w:rPr>
                  </w:pPr>
                  <w:r>
                    <w:rPr>
                      <w:color w:val="333333"/>
                      <w:sz w:val="18"/>
                      <w:szCs w:val="18"/>
                    </w:rPr>
                    <w:t>考虑技术和管理风险，确定最佳替代方案</w:t>
                  </w:r>
                </w:p>
              </w:txbxContent>
            </v:textbox>
          </v:roundrect>
        </w:pict>
      </w:r>
      <w:r w:rsidRPr="009F692E">
        <w:rPr>
          <w:noProof/>
        </w:rPr>
        <w:pict>
          <v:shape id="连接线3" o:spid="_x0000_s1035" type="#_x0000_t32" style="position:absolute;left:0;text-align:left;margin-left:121.35pt;margin-top:184.35pt;width:38.75pt;height:0;z-index:251651072" o:connectortype="straight" adj="16200,16200,16200">
            <v:stroke endarrow="block"/>
          </v:shape>
        </w:pict>
      </w:r>
    </w:p>
    <w:p w:rsidR="009F692E" w:rsidRDefault="009F692E">
      <w:pPr>
        <w:rPr>
          <w:szCs w:val="21"/>
        </w:rPr>
      </w:pPr>
      <w:r w:rsidRPr="009F692E">
        <w:rPr>
          <w:noProof/>
        </w:rPr>
        <w:pict>
          <v:shape id="连接线5" o:spid="_x0000_s1036" type="#_x0000_t32" style="position:absolute;left:0;text-align:left;margin-left:240.4pt;margin-top:12.1pt;width:40.75pt;height:0;z-index:251652096" o:connectortype="straight" adj="16200,16200,16200">
            <v:stroke endarrow="block"/>
          </v:shape>
        </w:pict>
      </w:r>
    </w:p>
    <w:p w:rsidR="009F692E" w:rsidRDefault="009F692E">
      <w:pPr>
        <w:rPr>
          <w:szCs w:val="21"/>
        </w:rPr>
      </w:pPr>
    </w:p>
    <w:p w:rsidR="009F692E" w:rsidRDefault="009F692E">
      <w:pPr>
        <w:rPr>
          <w:szCs w:val="21"/>
        </w:rPr>
      </w:pPr>
      <w:r w:rsidRPr="009F692E">
        <w:rPr>
          <w:noProof/>
        </w:rPr>
        <w:pict>
          <v:shape id="连接线6" o:spid="_x0000_s1037" type="#_x0000_t32" style="position:absolute;left:0;text-align:left;margin-left:323.25pt;margin-top:.9pt;width:0;height:31.6pt;z-index:251653120" o:connectortype="straight" adj="16200,16200,16200">
            <v:stroke endarrow="block"/>
          </v:shape>
        </w:pict>
      </w:r>
    </w:p>
    <w:p w:rsidR="009F692E" w:rsidRDefault="009F692E">
      <w:pPr>
        <w:rPr>
          <w:szCs w:val="21"/>
        </w:rPr>
      </w:pPr>
    </w:p>
    <w:p w:rsidR="009F692E" w:rsidRDefault="009F692E">
      <w:pPr>
        <w:rPr>
          <w:szCs w:val="21"/>
        </w:rPr>
      </w:pPr>
      <w:r w:rsidRPr="009F692E">
        <w:rPr>
          <w:noProof/>
        </w:rPr>
        <w:pict>
          <v:roundrect id="自选图形7" o:spid="_x0000_s1038" style="position:absolute;left:0;text-align:left;margin-left:3.65pt;margin-top:3.75pt;width:113.6pt;height:42.25pt;z-index:251654144" arcsize="10923f">
            <v:fill color2="black" angle="180"/>
            <v:textbox>
              <w:txbxContent>
                <w:p w:rsidR="009F692E" w:rsidRDefault="009111AE">
                  <w:pPr>
                    <w:rPr>
                      <w:sz w:val="18"/>
                      <w:szCs w:val="18"/>
                    </w:rPr>
                  </w:pPr>
                  <w:r>
                    <w:rPr>
                      <w:color w:val="333333"/>
                      <w:sz w:val="18"/>
                      <w:szCs w:val="18"/>
                    </w:rPr>
                    <w:t>优化分配可替代方案的剩余预算管理风险</w:t>
                  </w:r>
                </w:p>
              </w:txbxContent>
            </v:textbox>
          </v:roundrect>
        </w:pict>
      </w:r>
    </w:p>
    <w:p w:rsidR="009F692E" w:rsidRDefault="009F692E">
      <w:pPr>
        <w:rPr>
          <w:szCs w:val="21"/>
        </w:rPr>
      </w:pPr>
      <w:r w:rsidRPr="009F692E">
        <w:rPr>
          <w:noProof/>
        </w:rPr>
        <w:pict>
          <v:shape id="连接线7" o:spid="_x0000_s1039" type="#_x0000_t32" style="position:absolute;left:0;text-align:left;margin-left:117.25pt;margin-top:6.7pt;width:37.9pt;height:0;flip:x;z-index:251655168" o:connectortype="straight" adj="16200,16200,16200">
            <v:stroke endarrow="block"/>
          </v:shape>
        </w:pict>
      </w:r>
    </w:p>
    <w:p w:rsidR="009F692E" w:rsidRDefault="009F692E">
      <w:pPr>
        <w:rPr>
          <w:szCs w:val="21"/>
        </w:rPr>
      </w:pPr>
      <w:r w:rsidRPr="009F692E">
        <w:rPr>
          <w:noProof/>
        </w:rPr>
        <w:pict>
          <v:shape id="连接线8" o:spid="_x0000_s1040" type="#_x0000_t32" style="position:absolute;left:0;text-align:left;margin-left:60.2pt;margin-top:14.8pt;width:.4pt;height:40pt;z-index:251656192" o:connectortype="straight" adj="16200,16200,16200">
            <v:stroke endarrow="block"/>
          </v:shape>
        </w:pict>
      </w:r>
    </w:p>
    <w:p w:rsidR="009F692E" w:rsidRDefault="009F692E">
      <w:pPr>
        <w:rPr>
          <w:szCs w:val="21"/>
        </w:rPr>
      </w:pPr>
    </w:p>
    <w:p w:rsidR="009F692E" w:rsidRDefault="009F692E">
      <w:pPr>
        <w:rPr>
          <w:szCs w:val="21"/>
        </w:rPr>
      </w:pPr>
    </w:p>
    <w:p w:rsidR="009F692E" w:rsidRDefault="009F692E">
      <w:pPr>
        <w:rPr>
          <w:szCs w:val="21"/>
        </w:rPr>
      </w:pPr>
      <w:r w:rsidRPr="009F692E">
        <w:rPr>
          <w:noProof/>
        </w:rPr>
        <w:pict>
          <v:roundrect id="自选图形8" o:spid="_x0000_s1041" style="position:absolute;left:0;text-align:left;margin-left:160.1pt;margin-top:11.65pt;width:87pt;height:42.25pt;z-index:251657216" arcsize="10923f">
            <v:fill color2="black" angle="180"/>
            <v:textbox>
              <w:txbxContent>
                <w:p w:rsidR="009F692E" w:rsidRDefault="009111AE">
                  <w:pPr>
                    <w:jc w:val="left"/>
                    <w:rPr>
                      <w:sz w:val="18"/>
                      <w:szCs w:val="18"/>
                    </w:rPr>
                  </w:pPr>
                  <w:r>
                    <w:rPr>
                      <w:color w:val="333333"/>
                      <w:sz w:val="18"/>
                      <w:szCs w:val="18"/>
                    </w:rPr>
                    <w:t>项目失败的概率是否可以接受</w:t>
                  </w:r>
                </w:p>
              </w:txbxContent>
            </v:textbox>
          </v:roundrect>
        </w:pict>
      </w:r>
      <w:r w:rsidRPr="009F692E">
        <w:rPr>
          <w:noProof/>
        </w:rPr>
        <w:pict>
          <v:roundrect id="自选图形9" o:spid="_x0000_s1042" style="position:absolute;left:0;text-align:left;margin-left:288.25pt;margin-top:11.65pt;width:97pt;height:42.25pt;z-index:251658240" arcsize="10923f">
            <v:fill color2="black" angle="180"/>
            <v:textbox>
              <w:txbxContent>
                <w:p w:rsidR="009F692E" w:rsidRDefault="009111AE">
                  <w:pPr>
                    <w:rPr>
                      <w:sz w:val="18"/>
                      <w:szCs w:val="18"/>
                    </w:rPr>
                  </w:pPr>
                  <w:r>
                    <w:rPr>
                      <w:color w:val="333333"/>
                      <w:sz w:val="18"/>
                      <w:szCs w:val="18"/>
                    </w:rPr>
                    <w:t>增加资源，以满足可接受的风险水平</w:t>
                  </w:r>
                </w:p>
              </w:txbxContent>
            </v:textbox>
          </v:roundrect>
        </w:pict>
      </w:r>
    </w:p>
    <w:p w:rsidR="009F692E" w:rsidRDefault="009F692E">
      <w:pPr>
        <w:tabs>
          <w:tab w:val="left" w:pos="4811"/>
        </w:tabs>
        <w:rPr>
          <w:sz w:val="18"/>
          <w:szCs w:val="18"/>
        </w:rPr>
      </w:pPr>
      <w:r w:rsidRPr="009F692E">
        <w:rPr>
          <w:noProof/>
        </w:rPr>
        <w:pict>
          <v:shape id="连接线9" o:spid="_x0000_s1043" type="#_x0000_t32" style="position:absolute;left:0;text-align:left;margin-left:248.3pt;margin-top:12.75pt;width:39.95pt;height:0;z-index:251659264" o:connectortype="straight" adj="16200,16200,16200">
            <v:stroke endarrow="block"/>
          </v:shape>
        </w:pict>
      </w:r>
      <w:r w:rsidR="009111AE">
        <w:rPr>
          <w:szCs w:val="21"/>
        </w:rPr>
        <w:tab/>
        <w:t xml:space="preserve">    </w:t>
      </w:r>
      <w:r w:rsidR="009111AE">
        <w:rPr>
          <w:sz w:val="18"/>
          <w:szCs w:val="18"/>
        </w:rPr>
        <w:t>否</w:t>
      </w:r>
    </w:p>
    <w:p w:rsidR="009F692E" w:rsidRDefault="009F692E">
      <w:pPr>
        <w:rPr>
          <w:szCs w:val="21"/>
        </w:rPr>
      </w:pPr>
    </w:p>
    <w:p w:rsidR="009F692E" w:rsidRDefault="009F692E">
      <w:pPr>
        <w:rPr>
          <w:szCs w:val="21"/>
        </w:rPr>
      </w:pPr>
      <w:r w:rsidRPr="009F692E">
        <w:rPr>
          <w:noProof/>
        </w:rPr>
        <w:pict>
          <v:shape id="连接线10" o:spid="_x0000_s1044" type="#_x0000_t32" style="position:absolute;left:0;text-align:left;margin-left:196.7pt;margin-top:7.1pt;width:.05pt;height:33.15pt;z-index:251660288" o:connectortype="straight" adj="16200,16200,16200">
            <v:stroke endarrow="block"/>
          </v:shape>
        </w:pict>
      </w:r>
    </w:p>
    <w:p w:rsidR="009F692E" w:rsidRDefault="009111AE">
      <w:pPr>
        <w:tabs>
          <w:tab w:val="left" w:pos="3421"/>
        </w:tabs>
        <w:rPr>
          <w:sz w:val="18"/>
          <w:szCs w:val="18"/>
        </w:rPr>
      </w:pPr>
      <w:r>
        <w:rPr>
          <w:szCs w:val="21"/>
        </w:rPr>
        <w:tab/>
        <w:t xml:space="preserve">   </w:t>
      </w:r>
      <w:r>
        <w:rPr>
          <w:sz w:val="18"/>
          <w:szCs w:val="18"/>
        </w:rPr>
        <w:t>是</w:t>
      </w:r>
    </w:p>
    <w:p w:rsidR="009F692E" w:rsidRDefault="009F692E">
      <w:pPr>
        <w:rPr>
          <w:szCs w:val="21"/>
        </w:rPr>
      </w:pPr>
      <w:r w:rsidRPr="009F692E">
        <w:rPr>
          <w:noProof/>
        </w:rPr>
        <w:pict>
          <v:roundrect id="自选图形10" o:spid="_x0000_s1045" style="position:absolute;left:0;text-align:left;margin-left:145.55pt;margin-top:9.05pt;width:121.95pt;height:30.8pt;z-index:251661312" arcsize="10923f">
            <v:fill color2="black" angle="180"/>
            <v:textbox>
              <w:txbxContent>
                <w:p w:rsidR="009F692E" w:rsidRDefault="009111AE">
                  <w:pPr>
                    <w:rPr>
                      <w:sz w:val="18"/>
                      <w:szCs w:val="18"/>
                    </w:rPr>
                  </w:pPr>
                  <w:r>
                    <w:rPr>
                      <w:color w:val="333333"/>
                      <w:sz w:val="18"/>
                      <w:szCs w:val="18"/>
                    </w:rPr>
                    <w:t>优化设计方案与预算分配</w:t>
                  </w:r>
                </w:p>
              </w:txbxContent>
            </v:textbox>
          </v:roundrect>
        </w:pict>
      </w:r>
    </w:p>
    <w:p w:rsidR="009F692E" w:rsidRDefault="009F692E">
      <w:pPr>
        <w:rPr>
          <w:szCs w:val="21"/>
        </w:rPr>
      </w:pPr>
    </w:p>
    <w:p w:rsidR="009F692E" w:rsidRDefault="009F692E">
      <w:pPr>
        <w:rPr>
          <w:szCs w:val="21"/>
        </w:rPr>
      </w:pPr>
    </w:p>
    <w:p w:rsidR="009F692E" w:rsidRDefault="009F692E">
      <w:pPr>
        <w:rPr>
          <w:szCs w:val="21"/>
        </w:rPr>
      </w:pPr>
    </w:p>
    <w:p w:rsidR="009F692E" w:rsidRDefault="009F692E">
      <w:pPr>
        <w:ind w:firstLine="420"/>
        <w:rPr>
          <w:szCs w:val="21"/>
        </w:rPr>
      </w:pPr>
    </w:p>
    <w:p w:rsidR="009F692E" w:rsidRDefault="009111AE">
      <w:pPr>
        <w:ind w:firstLine="360"/>
        <w:jc w:val="center"/>
        <w:rPr>
          <w:sz w:val="18"/>
          <w:szCs w:val="18"/>
        </w:rPr>
      </w:pPr>
      <w:r>
        <w:rPr>
          <w:sz w:val="18"/>
          <w:szCs w:val="18"/>
        </w:rPr>
        <w:t>图</w:t>
      </w:r>
      <w:r>
        <w:rPr>
          <w:sz w:val="18"/>
          <w:szCs w:val="18"/>
        </w:rPr>
        <w:t xml:space="preserve">1   </w:t>
      </w:r>
      <w:r>
        <w:rPr>
          <w:b/>
          <w:sz w:val="18"/>
          <w:szCs w:val="18"/>
        </w:rPr>
        <w:t>高级规划风险分析及管理（</w:t>
      </w:r>
      <w:r>
        <w:rPr>
          <w:sz w:val="18"/>
          <w:szCs w:val="18"/>
        </w:rPr>
        <w:t>APRAM</w:t>
      </w:r>
      <w:r>
        <w:rPr>
          <w:b/>
          <w:sz w:val="18"/>
          <w:szCs w:val="18"/>
        </w:rPr>
        <w:t>）</w:t>
      </w:r>
      <w:r>
        <w:rPr>
          <w:sz w:val="18"/>
          <w:szCs w:val="18"/>
        </w:rPr>
        <w:t>结构模型</w:t>
      </w:r>
    </w:p>
    <w:p w:rsidR="009F692E" w:rsidRDefault="009111AE">
      <w:pPr>
        <w:ind w:firstLine="360"/>
        <w:jc w:val="left"/>
        <w:rPr>
          <w:sz w:val="18"/>
          <w:szCs w:val="18"/>
        </w:rPr>
      </w:pPr>
      <w:r>
        <w:rPr>
          <w:sz w:val="18"/>
          <w:szCs w:val="18"/>
        </w:rPr>
        <w:t>（资料来源：</w:t>
      </w:r>
      <w:r>
        <w:rPr>
          <w:sz w:val="18"/>
          <w:szCs w:val="18"/>
        </w:rPr>
        <w:t>Zeynalian</w:t>
      </w:r>
      <w:r>
        <w:rPr>
          <w:sz w:val="18"/>
          <w:szCs w:val="18"/>
        </w:rPr>
        <w:t>等，</w:t>
      </w:r>
      <w:r>
        <w:rPr>
          <w:sz w:val="18"/>
          <w:szCs w:val="18"/>
        </w:rPr>
        <w:t>2013</w:t>
      </w:r>
      <w:r>
        <w:rPr>
          <w:sz w:val="18"/>
          <w:szCs w:val="18"/>
        </w:rPr>
        <w:t>）</w:t>
      </w:r>
    </w:p>
    <w:p w:rsidR="009F692E" w:rsidRDefault="009111AE">
      <w:pPr>
        <w:jc w:val="center"/>
        <w:rPr>
          <w:b/>
          <w:sz w:val="24"/>
          <w:szCs w:val="24"/>
        </w:rPr>
      </w:pPr>
      <w:r>
        <w:rPr>
          <w:b/>
          <w:sz w:val="24"/>
          <w:szCs w:val="24"/>
        </w:rPr>
        <w:t>三、</w:t>
      </w:r>
      <w:r>
        <w:rPr>
          <w:b/>
          <w:sz w:val="24"/>
          <w:szCs w:val="24"/>
        </w:rPr>
        <w:t>APRAM</w:t>
      </w:r>
      <w:r>
        <w:rPr>
          <w:b/>
          <w:sz w:val="24"/>
          <w:szCs w:val="24"/>
        </w:rPr>
        <w:t>模型在工程建设项目中的应用</w:t>
      </w:r>
    </w:p>
    <w:p w:rsidR="009F692E" w:rsidRDefault="009111AE">
      <w:pPr>
        <w:ind w:firstLine="420"/>
        <w:jc w:val="left"/>
        <w:rPr>
          <w:szCs w:val="21"/>
        </w:rPr>
      </w:pPr>
      <w:r>
        <w:rPr>
          <w:szCs w:val="21"/>
        </w:rPr>
        <w:t>工程建设项目的全寿命周期分为设计阶段、建造阶段和运营维护阶段。生命周期成本管理的思想可以应用于建筑工程项目生命周期成本的各个阶段，越早使用这种思想带来的生命周期成本的节省也越大。建筑工程项目生命周期阶段成本划分如图</w:t>
      </w:r>
      <w:r>
        <w:rPr>
          <w:szCs w:val="21"/>
        </w:rPr>
        <w:t>2</w:t>
      </w:r>
      <w:r>
        <w:rPr>
          <w:szCs w:val="21"/>
        </w:rPr>
        <w:t>所示。</w:t>
      </w:r>
    </w:p>
    <w:p w:rsidR="009F692E" w:rsidRDefault="009111AE">
      <w:pPr>
        <w:ind w:firstLine="420"/>
        <w:jc w:val="left"/>
        <w:rPr>
          <w:szCs w:val="21"/>
        </w:rPr>
      </w:pPr>
      <w:r>
        <w:rPr>
          <w:szCs w:val="21"/>
        </w:rPr>
        <w:t>由于资金具有时间价值，</w:t>
      </w:r>
      <w:r>
        <w:rPr>
          <w:szCs w:val="21"/>
        </w:rPr>
        <w:t>APRAM</w:t>
      </w:r>
      <w:r>
        <w:rPr>
          <w:szCs w:val="21"/>
        </w:rPr>
        <w:t>模型可以涵盖项目整个生命周期成本。工程项目中的现值公式</w:t>
      </w:r>
      <w:r>
        <w:rPr>
          <w:szCs w:val="21"/>
        </w:rPr>
        <w:t>PV</w:t>
      </w:r>
      <w:r>
        <w:rPr>
          <w:szCs w:val="21"/>
        </w:rPr>
        <w:t>为（见公式</w:t>
      </w:r>
      <w:r>
        <w:rPr>
          <w:szCs w:val="21"/>
        </w:rPr>
        <w:t>1</w:t>
      </w:r>
      <w:r>
        <w:rPr>
          <w:szCs w:val="21"/>
        </w:rPr>
        <w:t>）：</w:t>
      </w:r>
    </w:p>
    <w:p w:rsidR="009F692E" w:rsidRDefault="009111AE">
      <w:pPr>
        <w:ind w:firstLine="420"/>
        <w:jc w:val="left"/>
        <w:rPr>
          <w:szCs w:val="21"/>
        </w:rPr>
      </w:pPr>
      <w:r>
        <w:rPr>
          <w:szCs w:val="21"/>
        </w:rPr>
        <w:t xml:space="preserve">                         </w:t>
      </w:r>
      <w:r>
        <w:rPr>
          <w:rFonts w:ascii="Cambria Math" w:hAnsi="Cambria Math" w:hint="eastAsia"/>
          <w:i/>
          <w:szCs w:val="21"/>
        </w:rPr>
        <w:t xml:space="preserve">                          </w:t>
      </w:r>
      <w:r>
        <w:rPr>
          <w:szCs w:val="21"/>
        </w:rPr>
        <w:t>（</w:t>
      </w:r>
      <w:r>
        <w:rPr>
          <w:szCs w:val="21"/>
        </w:rPr>
        <w:t>1</w:t>
      </w:r>
      <w:r>
        <w:rPr>
          <w:szCs w:val="21"/>
        </w:rPr>
        <w:t>）</w:t>
      </w:r>
    </w:p>
    <w:p w:rsidR="009F692E" w:rsidRDefault="009111AE">
      <w:pPr>
        <w:ind w:firstLine="420"/>
        <w:jc w:val="left"/>
        <w:rPr>
          <w:szCs w:val="21"/>
        </w:rPr>
      </w:pPr>
      <w:r>
        <w:rPr>
          <w:szCs w:val="21"/>
        </w:rPr>
        <w:t>其中，</w:t>
      </w:r>
      <w:r>
        <w:rPr>
          <w:rFonts w:ascii="Cambria Math" w:hAnsi="Cambria Math" w:hint="eastAsia"/>
          <w:i/>
          <w:szCs w:val="21"/>
        </w:rPr>
        <w:t>是项目在</w:t>
      </w:r>
      <w:r>
        <w:rPr>
          <w:i/>
          <w:szCs w:val="21"/>
        </w:rPr>
        <w:t>t</w:t>
      </w:r>
      <w:r>
        <w:rPr>
          <w:szCs w:val="21"/>
        </w:rPr>
        <w:t>年中发生的所有费用；</w:t>
      </w:r>
      <w:r>
        <w:rPr>
          <w:szCs w:val="21"/>
        </w:rPr>
        <w:t>N</w:t>
      </w:r>
      <w:r>
        <w:rPr>
          <w:szCs w:val="21"/>
        </w:rPr>
        <w:t>是项目的生命周期；</w:t>
      </w:r>
      <w:r>
        <w:rPr>
          <w:i/>
          <w:szCs w:val="21"/>
        </w:rPr>
        <w:t>i</w:t>
      </w:r>
      <w:r>
        <w:rPr>
          <w:szCs w:val="21"/>
        </w:rPr>
        <w:t>是折现率。折</w:t>
      </w:r>
      <w:r>
        <w:rPr>
          <w:szCs w:val="21"/>
        </w:rPr>
        <w:t>现率是指未来有限期预期收益折算成现值的比率（见公式</w:t>
      </w:r>
      <w:r>
        <w:rPr>
          <w:szCs w:val="21"/>
        </w:rPr>
        <w:t>2</w:t>
      </w:r>
      <w:r>
        <w:rPr>
          <w:szCs w:val="21"/>
        </w:rPr>
        <w:t>）。它主要包括三个方面，分别为：项目资金的机会成本（</w:t>
      </w:r>
      <w:r>
        <w:rPr>
          <w:szCs w:val="21"/>
        </w:rPr>
        <w:t>cc</w:t>
      </w:r>
      <w:r>
        <w:rPr>
          <w:szCs w:val="21"/>
        </w:rPr>
        <w:t>），财务方面的溢价风险投资（</w:t>
      </w:r>
      <w:r>
        <w:rPr>
          <w:szCs w:val="21"/>
        </w:rPr>
        <w:t>fr</w:t>
      </w:r>
      <w:r>
        <w:rPr>
          <w:szCs w:val="21"/>
        </w:rPr>
        <w:t>）以及预计的通货膨胀率（</w:t>
      </w:r>
      <w:r>
        <w:rPr>
          <w:szCs w:val="21"/>
        </w:rPr>
        <w:t>pi</w:t>
      </w:r>
      <w:r>
        <w:rPr>
          <w:szCs w:val="21"/>
        </w:rPr>
        <w:t>）</w:t>
      </w:r>
    </w:p>
    <w:p w:rsidR="009F692E" w:rsidRDefault="009F692E">
      <w:pPr>
        <w:ind w:firstLine="420"/>
        <w:jc w:val="left"/>
        <w:rPr>
          <w:szCs w:val="21"/>
        </w:rPr>
      </w:pPr>
    </w:p>
    <w:p w:rsidR="009F692E" w:rsidRDefault="009111AE">
      <w:pPr>
        <w:ind w:firstLine="420"/>
        <w:jc w:val="left"/>
        <w:rPr>
          <w:szCs w:val="21"/>
        </w:rPr>
      </w:pPr>
      <w:r>
        <w:rPr>
          <w:szCs w:val="21"/>
        </w:rPr>
        <w:t>Dunston</w:t>
      </w:r>
      <w:r>
        <w:rPr>
          <w:szCs w:val="21"/>
        </w:rPr>
        <w:t>和</w:t>
      </w:r>
      <w:r>
        <w:rPr>
          <w:szCs w:val="21"/>
        </w:rPr>
        <w:t>Williamson</w:t>
      </w:r>
      <w:r>
        <w:rPr>
          <w:szCs w:val="21"/>
        </w:rPr>
        <w:t>（</w:t>
      </w:r>
      <w:r>
        <w:rPr>
          <w:szCs w:val="21"/>
        </w:rPr>
        <w:t>1999</w:t>
      </w:r>
      <w:r>
        <w:rPr>
          <w:szCs w:val="21"/>
        </w:rPr>
        <w:t>）和</w:t>
      </w:r>
      <w:r>
        <w:rPr>
          <w:szCs w:val="21"/>
        </w:rPr>
        <w:t>Griffin</w:t>
      </w:r>
      <w:r>
        <w:rPr>
          <w:szCs w:val="21"/>
        </w:rPr>
        <w:t>（</w:t>
      </w:r>
      <w:r>
        <w:rPr>
          <w:szCs w:val="21"/>
        </w:rPr>
        <w:t>1999</w:t>
      </w:r>
      <w:r>
        <w:rPr>
          <w:szCs w:val="21"/>
        </w:rPr>
        <w:t>）研究发现，设计和建造阶段的成本占全生命周期成本的</w:t>
      </w:r>
      <w:r>
        <w:rPr>
          <w:szCs w:val="21"/>
        </w:rPr>
        <w:t>20%-50%</w:t>
      </w:r>
      <w:r>
        <w:rPr>
          <w:szCs w:val="21"/>
        </w:rPr>
        <w:t>，运营维护阶段的成本占全生命周期成本的</w:t>
      </w:r>
      <w:r>
        <w:rPr>
          <w:szCs w:val="21"/>
        </w:rPr>
        <w:t>50%-80%</w:t>
      </w:r>
      <w:r>
        <w:rPr>
          <w:szCs w:val="21"/>
        </w:rPr>
        <w:t>。建筑项目的可替代方案一旦在技术上可行，那么就可以确定出每个可替代方案的最小成本。</w:t>
      </w:r>
    </w:p>
    <w:p w:rsidR="009F692E" w:rsidRDefault="009F692E">
      <w:pPr>
        <w:ind w:firstLine="420"/>
        <w:jc w:val="left"/>
        <w:rPr>
          <w:szCs w:val="21"/>
        </w:rPr>
      </w:pPr>
    </w:p>
    <w:p w:rsidR="009F692E" w:rsidRDefault="009F692E">
      <w:pPr>
        <w:ind w:firstLine="420"/>
        <w:jc w:val="left"/>
        <w:rPr>
          <w:sz w:val="18"/>
          <w:szCs w:val="18"/>
        </w:rPr>
      </w:pPr>
      <w:r w:rsidRPr="009F692E">
        <w:rPr>
          <w:noProof/>
        </w:rPr>
        <w:pict>
          <v:shape id="连接线13" o:spid="_x0000_s1046" type="#_x0000_t32" style="position:absolute;left:0;text-align:left;margin-left:77.3pt;margin-top:8.75pt;width:0;height:102.4pt;flip:y;z-index:251662336" o:connectortype="straight" adj="16200,16200,16200">
            <v:stroke endarrow="block"/>
          </v:shape>
        </w:pict>
      </w:r>
      <w:r w:rsidRPr="009F692E">
        <w:rPr>
          <w:noProof/>
        </w:rPr>
        <w:pict>
          <v:shape id="连接线12" o:spid="_x0000_s1047" type="#_x0000_t32" style="position:absolute;left:0;text-align:left;margin-left:208pt;margin-top:14.2pt;width:2.85pt;height:96.95pt;z-index:251663360" o:connectortype="straight" adj="16200,16200,16200">
            <v:stroke dashstyle="1 1"/>
          </v:shape>
        </w:pict>
      </w:r>
      <w:r w:rsidRPr="009F692E">
        <w:rPr>
          <w:noProof/>
        </w:rPr>
        <w:pict>
          <v:shape id="连接线11" o:spid="_x0000_s1048" type="#_x0000_t32" style="position:absolute;left:0;text-align:left;margin-left:385.25pt;margin-top:14.2pt;width:0;height:96.95pt;z-index:251664384" o:connectortype="straight" adj="16200,16200,16200">
            <v:stroke dashstyle="1 1"/>
          </v:shape>
        </w:pict>
      </w:r>
      <w:r w:rsidR="009111AE">
        <w:rPr>
          <w:szCs w:val="21"/>
        </w:rPr>
        <w:t xml:space="preserve">       </w:t>
      </w:r>
      <w:r w:rsidR="009111AE">
        <w:rPr>
          <w:sz w:val="18"/>
          <w:szCs w:val="18"/>
        </w:rPr>
        <w:t>成本</w:t>
      </w:r>
    </w:p>
    <w:p w:rsidR="009F692E" w:rsidRDefault="009F692E">
      <w:pPr>
        <w:tabs>
          <w:tab w:val="left" w:pos="1964"/>
          <w:tab w:val="left" w:pos="3188"/>
        </w:tabs>
        <w:ind w:firstLine="420"/>
        <w:jc w:val="left"/>
        <w:rPr>
          <w:szCs w:val="21"/>
        </w:rPr>
      </w:pPr>
      <w:r w:rsidRPr="009F692E">
        <w:rPr>
          <w:noProof/>
        </w:rPr>
        <w:pict>
          <v:shape id="连接线14" o:spid="_x0000_s1049" type="#_x0000_t32" style="position:absolute;left:0;text-align:left;margin-left:77.3pt;margin-top:13.15pt;width:65.3pt;height:0;z-index:251665408" o:connectortype="straight" adj="16200,16200,16200">
            <v:stroke startarrow="block" endarrow="block"/>
          </v:shape>
        </w:pict>
      </w:r>
      <w:r w:rsidRPr="009F692E">
        <w:rPr>
          <w:noProof/>
        </w:rPr>
        <w:pict>
          <v:shape id="连接线15" o:spid="_x0000_s1050" type="#_x0000_t32" style="position:absolute;left:0;text-align:left;margin-left:140.15pt;margin-top:1.5pt;width:0;height:94.05pt;z-index:251666432" o:connectortype="straight" adj="16200,16200,16200">
            <v:stroke dashstyle="1 1"/>
          </v:shape>
        </w:pict>
      </w:r>
      <w:r w:rsidRPr="009F692E">
        <w:rPr>
          <w:noProof/>
        </w:rPr>
        <w:pict>
          <v:shape id="连接线16" o:spid="_x0000_s1051" type="#_x0000_t32" style="position:absolute;left:0;text-align:left;margin-left:127.65pt;margin-top:1.5pt;width:2.95pt;height:94.05pt;z-index:251667456" o:connectortype="straight" adj="16200,16200,16200">
            <v:stroke dashstyle="1 1"/>
          </v:shape>
        </w:pict>
      </w:r>
      <w:r w:rsidR="009111AE">
        <w:rPr>
          <w:szCs w:val="21"/>
        </w:rPr>
        <w:tab/>
      </w:r>
      <w:r w:rsidR="009111AE">
        <w:rPr>
          <w:szCs w:val="21"/>
        </w:rPr>
        <w:t>设计</w:t>
      </w:r>
      <w:r w:rsidR="009111AE">
        <w:rPr>
          <w:szCs w:val="21"/>
        </w:rPr>
        <w:tab/>
      </w:r>
      <w:r w:rsidR="009111AE">
        <w:rPr>
          <w:szCs w:val="21"/>
        </w:rPr>
        <w:t>建造</w:t>
      </w:r>
    </w:p>
    <w:p w:rsidR="009F692E" w:rsidRDefault="009F692E">
      <w:pPr>
        <w:tabs>
          <w:tab w:val="left" w:pos="5394"/>
        </w:tabs>
        <w:ind w:firstLine="420"/>
        <w:jc w:val="left"/>
        <w:rPr>
          <w:szCs w:val="21"/>
        </w:rPr>
      </w:pPr>
      <w:r w:rsidRPr="009F692E">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弧形1" o:spid="_x0000_s1052" type="#_x0000_t19" style="position:absolute;left:0;text-align:left;margin-left:130.6pt;margin-top:1.7pt;width:82.75pt;height:78.25pt;rotation:-180;flip:y;z-index:251668480" adj="-11752836,,21598" fillcolor="black">
            <v:fill type="pattern"/>
          </v:shape>
        </w:pict>
      </w:r>
      <w:r w:rsidRPr="009F692E">
        <w:rPr>
          <w:noProof/>
        </w:rPr>
        <w:pict>
          <v:shape id="连接线17" o:spid="_x0000_s1053" type="#_x0000_t32" style="position:absolute;left:0;text-align:left;margin-left:127.65pt;margin-top:1.7pt;width:77.8pt;height:.05pt;z-index:251669504" o:connectortype="straight" adj="16200,16200,16200">
            <v:stroke startarrow="block" endarrow="block"/>
          </v:shape>
        </w:pict>
      </w:r>
      <w:r w:rsidR="009111AE">
        <w:rPr>
          <w:szCs w:val="21"/>
        </w:rPr>
        <w:tab/>
      </w:r>
      <w:r w:rsidR="009111AE">
        <w:rPr>
          <w:szCs w:val="21"/>
        </w:rPr>
        <w:t>运营维护</w:t>
      </w:r>
    </w:p>
    <w:p w:rsidR="009F692E" w:rsidRDefault="009F692E">
      <w:pPr>
        <w:ind w:firstLine="420"/>
        <w:jc w:val="left"/>
        <w:rPr>
          <w:szCs w:val="21"/>
        </w:rPr>
      </w:pPr>
      <w:r w:rsidRPr="009F692E">
        <w:rPr>
          <w:noProof/>
        </w:rPr>
        <w:pict>
          <v:shape id="连接线18" o:spid="_x0000_s1054" type="#_x0000_t32" style="position:absolute;left:0;text-align:left;margin-left:210.85pt;margin-top:7.75pt;width:174.4pt;height:0;z-index:251670528" o:connectortype="straight" adj="16200,16200,16200">
            <v:stroke startarrow="block" endarrow="block"/>
          </v:shape>
        </w:pict>
      </w:r>
    </w:p>
    <w:p w:rsidR="009F692E" w:rsidRDefault="009F692E">
      <w:pPr>
        <w:ind w:firstLine="420"/>
        <w:jc w:val="left"/>
        <w:rPr>
          <w:szCs w:val="21"/>
        </w:rPr>
      </w:pPr>
      <w:r w:rsidRPr="009F692E">
        <w:rPr>
          <w:noProof/>
        </w:rPr>
        <w:pict>
          <v:shape id="弧形2" o:spid="_x0000_s1055" type="#_x0000_t19" style="position:absolute;left:0;text-align:left;margin-left:77.3pt;margin-top:12.15pt;width:74.05pt;height:36.6pt;rotation:-180;flip:y;z-index:251671552" adj="-11752836,,21598" fillcolor="black">
            <v:fill type="pattern"/>
          </v:shape>
        </w:pict>
      </w:r>
      <w:r w:rsidRPr="009F692E">
        <w:rPr>
          <w:noProof/>
        </w:rPr>
        <w:pict>
          <v:shape id="弧形3" o:spid="_x0000_s1056" type="#_x0000_t19" style="position:absolute;left:0;text-align:left;margin-left:184.75pt;margin-top:12.15pt;width:200.5pt;height:36.6pt;rotation:-180;flip:y;z-index:251672576" adj="-11752836,,21598" fillcolor="black">
            <v:fill type="pattern"/>
          </v:shape>
        </w:pict>
      </w:r>
    </w:p>
    <w:p w:rsidR="009F692E" w:rsidRDefault="009F692E">
      <w:pPr>
        <w:ind w:firstLine="420"/>
        <w:jc w:val="left"/>
        <w:rPr>
          <w:szCs w:val="21"/>
        </w:rPr>
      </w:pPr>
    </w:p>
    <w:p w:rsidR="009F692E" w:rsidRDefault="009F692E">
      <w:pPr>
        <w:ind w:firstLine="420"/>
        <w:jc w:val="left"/>
        <w:rPr>
          <w:szCs w:val="21"/>
        </w:rPr>
      </w:pPr>
    </w:p>
    <w:p w:rsidR="009F692E" w:rsidRDefault="009F692E">
      <w:pPr>
        <w:tabs>
          <w:tab w:val="right" w:pos="8306"/>
        </w:tabs>
        <w:ind w:firstLine="420"/>
        <w:jc w:val="left"/>
        <w:rPr>
          <w:sz w:val="18"/>
          <w:szCs w:val="18"/>
        </w:rPr>
      </w:pPr>
      <w:r w:rsidRPr="009F692E">
        <w:rPr>
          <w:noProof/>
        </w:rPr>
        <w:pict>
          <v:shape id="连接线19" o:spid="_x0000_s1057" type="#_x0000_t32" style="position:absolute;left:0;text-align:left;margin-left:77.3pt;margin-top:1.95pt;width:323pt;height:0;z-index:251673600" o:connectortype="straight" adj="16200,16200,16200">
            <v:stroke endarrow="block"/>
          </v:shape>
        </w:pict>
      </w:r>
      <w:r w:rsidR="009111AE">
        <w:rPr>
          <w:szCs w:val="21"/>
        </w:rPr>
        <w:tab/>
      </w:r>
      <w:r w:rsidR="009111AE">
        <w:rPr>
          <w:sz w:val="18"/>
          <w:szCs w:val="18"/>
        </w:rPr>
        <w:t>时间</w:t>
      </w:r>
    </w:p>
    <w:p w:rsidR="009F692E" w:rsidRDefault="009111AE">
      <w:pPr>
        <w:ind w:firstLine="361"/>
        <w:jc w:val="center"/>
        <w:rPr>
          <w:b/>
          <w:sz w:val="18"/>
          <w:szCs w:val="18"/>
        </w:rPr>
      </w:pPr>
      <w:r>
        <w:rPr>
          <w:b/>
          <w:sz w:val="18"/>
          <w:szCs w:val="18"/>
        </w:rPr>
        <w:t>图</w:t>
      </w:r>
      <w:r>
        <w:rPr>
          <w:b/>
          <w:sz w:val="18"/>
          <w:szCs w:val="18"/>
        </w:rPr>
        <w:t xml:space="preserve">2  </w:t>
      </w:r>
      <w:r>
        <w:rPr>
          <w:b/>
          <w:sz w:val="18"/>
          <w:szCs w:val="18"/>
        </w:rPr>
        <w:t>工程建设项目生命周期成本</w:t>
      </w:r>
    </w:p>
    <w:p w:rsidR="009F692E" w:rsidRDefault="009F692E">
      <w:pPr>
        <w:ind w:firstLine="361"/>
        <w:jc w:val="center"/>
        <w:rPr>
          <w:b/>
          <w:sz w:val="18"/>
          <w:szCs w:val="18"/>
        </w:rPr>
      </w:pPr>
    </w:p>
    <w:p w:rsidR="009F692E" w:rsidRDefault="009111AE">
      <w:pPr>
        <w:ind w:firstLine="420"/>
        <w:jc w:val="left"/>
        <w:rPr>
          <w:b/>
          <w:sz w:val="18"/>
          <w:szCs w:val="18"/>
        </w:rPr>
      </w:pPr>
      <w:r>
        <w:rPr>
          <w:szCs w:val="21"/>
        </w:rPr>
        <w:t>在工程建设项目的整个生命周期中，为了避免项目失败的风险，</w:t>
      </w:r>
      <w:r>
        <w:rPr>
          <w:szCs w:val="21"/>
        </w:rPr>
        <w:t>Zeynalian</w:t>
      </w:r>
      <w:r>
        <w:rPr>
          <w:szCs w:val="21"/>
        </w:rPr>
        <w:t>（</w:t>
      </w:r>
      <w:r>
        <w:rPr>
          <w:szCs w:val="21"/>
        </w:rPr>
        <w:t>2013</w:t>
      </w:r>
      <w:r>
        <w:rPr>
          <w:szCs w:val="21"/>
        </w:rPr>
        <w:t>）将其划分为技术失败风险和管理失败风险两种。技术失败风险主要因为技术条件的不确定性而引起项目的失败。根据</w:t>
      </w:r>
      <w:r>
        <w:rPr>
          <w:szCs w:val="21"/>
        </w:rPr>
        <w:t>Zeynalian</w:t>
      </w:r>
      <w:r>
        <w:rPr>
          <w:szCs w:val="21"/>
        </w:rPr>
        <w:t>的分类并结合我国工程建设项目的实际，本文将我国建筑施工企业的技术失败风险归类为</w:t>
      </w:r>
      <w:r>
        <w:rPr>
          <w:szCs w:val="21"/>
        </w:rPr>
        <w:t>7</w:t>
      </w:r>
      <w:r>
        <w:rPr>
          <w:szCs w:val="21"/>
        </w:rPr>
        <w:t>个方面，将自然条件等风险因素形成的风险也归结为技术失败风险。见表</w:t>
      </w:r>
      <w:r>
        <w:rPr>
          <w:szCs w:val="21"/>
        </w:rPr>
        <w:t>1</w:t>
      </w:r>
      <w:r>
        <w:rPr>
          <w:szCs w:val="21"/>
        </w:rPr>
        <w:t>所示。</w:t>
      </w:r>
    </w:p>
    <w:p w:rsidR="009F692E" w:rsidRDefault="009F692E">
      <w:pPr>
        <w:ind w:firstLine="361"/>
        <w:jc w:val="left"/>
        <w:rPr>
          <w:b/>
          <w:sz w:val="18"/>
          <w:szCs w:val="18"/>
        </w:rPr>
      </w:pPr>
    </w:p>
    <w:p w:rsidR="009F692E" w:rsidRDefault="009111AE">
      <w:pPr>
        <w:ind w:firstLine="361"/>
        <w:jc w:val="center"/>
        <w:rPr>
          <w:b/>
          <w:sz w:val="18"/>
          <w:szCs w:val="18"/>
        </w:rPr>
      </w:pPr>
      <w:r>
        <w:rPr>
          <w:b/>
          <w:sz w:val="18"/>
          <w:szCs w:val="18"/>
        </w:rPr>
        <w:t>表</w:t>
      </w:r>
      <w:r>
        <w:rPr>
          <w:b/>
          <w:sz w:val="18"/>
          <w:szCs w:val="18"/>
        </w:rPr>
        <w:t xml:space="preserve">1   </w:t>
      </w:r>
      <w:r>
        <w:rPr>
          <w:b/>
          <w:sz w:val="18"/>
          <w:szCs w:val="18"/>
        </w:rPr>
        <w:t>工程建设项目中的技术失败风险</w:t>
      </w:r>
    </w:p>
    <w:tbl>
      <w:tblPr>
        <w:tblW w:w="8522" w:type="dxa"/>
        <w:jc w:val="center"/>
        <w:tblCellMar>
          <w:left w:w="10" w:type="dxa"/>
          <w:right w:w="10" w:type="dxa"/>
        </w:tblCellMar>
        <w:tblLook w:val="0000"/>
      </w:tblPr>
      <w:tblGrid>
        <w:gridCol w:w="2376"/>
        <w:gridCol w:w="6146"/>
      </w:tblGrid>
      <w:tr w:rsidR="009F692E">
        <w:tblPrEx>
          <w:tblCellMar>
            <w:top w:w="0" w:type="dxa"/>
            <w:bottom w:w="0" w:type="dxa"/>
          </w:tblCellMar>
        </w:tblPrEx>
        <w:trPr>
          <w:jc w:val="center"/>
        </w:trPr>
        <w:tc>
          <w:tcPr>
            <w:tcW w:w="2376"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序号</w:t>
            </w:r>
          </w:p>
        </w:tc>
        <w:tc>
          <w:tcPr>
            <w:tcW w:w="6146"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技术失败风险</w:t>
            </w:r>
          </w:p>
        </w:tc>
      </w:tr>
      <w:tr w:rsidR="009F692E">
        <w:tblPrEx>
          <w:tblCellMar>
            <w:top w:w="0" w:type="dxa"/>
            <w:bottom w:w="0" w:type="dxa"/>
          </w:tblCellMar>
        </w:tblPrEx>
        <w:trPr>
          <w:jc w:val="center"/>
        </w:trPr>
        <w:tc>
          <w:tcPr>
            <w:tcW w:w="2376"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1</w:t>
            </w:r>
          </w:p>
        </w:tc>
        <w:tc>
          <w:tcPr>
            <w:tcW w:w="6146"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现场实际与设计不符</w:t>
            </w:r>
          </w:p>
        </w:tc>
      </w:tr>
      <w:tr w:rsidR="009F692E">
        <w:tblPrEx>
          <w:tblCellMar>
            <w:top w:w="0" w:type="dxa"/>
            <w:bottom w:w="0" w:type="dxa"/>
          </w:tblCellMar>
        </w:tblPrEx>
        <w:trPr>
          <w:jc w:val="center"/>
        </w:trPr>
        <w:tc>
          <w:tcPr>
            <w:tcW w:w="23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2</w:t>
            </w:r>
          </w:p>
        </w:tc>
        <w:tc>
          <w:tcPr>
            <w:tcW w:w="614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水文气象条件异常</w:t>
            </w:r>
          </w:p>
        </w:tc>
      </w:tr>
      <w:tr w:rsidR="009F692E">
        <w:tblPrEx>
          <w:tblCellMar>
            <w:top w:w="0" w:type="dxa"/>
            <w:bottom w:w="0" w:type="dxa"/>
          </w:tblCellMar>
        </w:tblPrEx>
        <w:trPr>
          <w:jc w:val="center"/>
        </w:trPr>
        <w:tc>
          <w:tcPr>
            <w:tcW w:w="23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3</w:t>
            </w:r>
          </w:p>
        </w:tc>
        <w:tc>
          <w:tcPr>
            <w:tcW w:w="614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施工混凝土强度不足</w:t>
            </w:r>
          </w:p>
        </w:tc>
      </w:tr>
      <w:tr w:rsidR="009F692E">
        <w:tblPrEx>
          <w:tblCellMar>
            <w:top w:w="0" w:type="dxa"/>
            <w:bottom w:w="0" w:type="dxa"/>
          </w:tblCellMar>
        </w:tblPrEx>
        <w:trPr>
          <w:jc w:val="center"/>
        </w:trPr>
        <w:tc>
          <w:tcPr>
            <w:tcW w:w="23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4</w:t>
            </w:r>
          </w:p>
        </w:tc>
        <w:tc>
          <w:tcPr>
            <w:tcW w:w="614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施工图纸结构尺寸有误</w:t>
            </w:r>
          </w:p>
        </w:tc>
      </w:tr>
      <w:tr w:rsidR="009F692E">
        <w:tblPrEx>
          <w:tblCellMar>
            <w:top w:w="0" w:type="dxa"/>
            <w:bottom w:w="0" w:type="dxa"/>
          </w:tblCellMar>
        </w:tblPrEx>
        <w:trPr>
          <w:jc w:val="center"/>
        </w:trPr>
        <w:tc>
          <w:tcPr>
            <w:tcW w:w="23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5</w:t>
            </w:r>
          </w:p>
        </w:tc>
        <w:tc>
          <w:tcPr>
            <w:tcW w:w="614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未按照施工图纸要求的标准进行施工</w:t>
            </w:r>
          </w:p>
        </w:tc>
      </w:tr>
      <w:tr w:rsidR="009F692E">
        <w:tblPrEx>
          <w:tblCellMar>
            <w:top w:w="0" w:type="dxa"/>
            <w:bottom w:w="0" w:type="dxa"/>
          </w:tblCellMar>
        </w:tblPrEx>
        <w:trPr>
          <w:jc w:val="center"/>
        </w:trPr>
        <w:tc>
          <w:tcPr>
            <w:tcW w:w="23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6</w:t>
            </w:r>
          </w:p>
        </w:tc>
        <w:tc>
          <w:tcPr>
            <w:tcW w:w="614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各专业间施工技术协调困难</w:t>
            </w:r>
          </w:p>
        </w:tc>
      </w:tr>
      <w:tr w:rsidR="009F692E">
        <w:tblPrEx>
          <w:tblCellMar>
            <w:top w:w="0" w:type="dxa"/>
            <w:bottom w:w="0" w:type="dxa"/>
          </w:tblCellMar>
        </w:tblPrEx>
        <w:trPr>
          <w:jc w:val="center"/>
        </w:trPr>
        <w:tc>
          <w:tcPr>
            <w:tcW w:w="2376"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7</w:t>
            </w:r>
          </w:p>
        </w:tc>
        <w:tc>
          <w:tcPr>
            <w:tcW w:w="6146"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设计变更或设计图纸供应不及时</w:t>
            </w:r>
          </w:p>
        </w:tc>
      </w:tr>
    </w:tbl>
    <w:p w:rsidR="009F692E" w:rsidRDefault="009111AE">
      <w:pPr>
        <w:ind w:firstLine="360"/>
        <w:jc w:val="left"/>
        <w:rPr>
          <w:sz w:val="18"/>
          <w:szCs w:val="18"/>
        </w:rPr>
      </w:pPr>
      <w:r>
        <w:rPr>
          <w:sz w:val="18"/>
          <w:szCs w:val="18"/>
        </w:rPr>
        <w:t>（资料来源：</w:t>
      </w:r>
      <w:r>
        <w:rPr>
          <w:sz w:val="18"/>
          <w:szCs w:val="18"/>
        </w:rPr>
        <w:t>Zeynalian</w:t>
      </w:r>
      <w:r>
        <w:rPr>
          <w:sz w:val="18"/>
          <w:szCs w:val="18"/>
        </w:rPr>
        <w:t>等，曹郑玉及本文作者整理）</w:t>
      </w:r>
    </w:p>
    <w:p w:rsidR="009F692E" w:rsidRDefault="009111AE">
      <w:pPr>
        <w:ind w:firstLine="420"/>
        <w:jc w:val="left"/>
        <w:rPr>
          <w:szCs w:val="21"/>
        </w:rPr>
      </w:pPr>
      <w:r>
        <w:rPr>
          <w:szCs w:val="21"/>
        </w:rPr>
        <w:t>我国工程建设项目中的管理失败的风险主要包括</w:t>
      </w:r>
      <w:r>
        <w:rPr>
          <w:szCs w:val="21"/>
        </w:rPr>
        <w:t>6</w:t>
      </w:r>
      <w:r>
        <w:rPr>
          <w:szCs w:val="21"/>
        </w:rPr>
        <w:t>个方面，主要有合同条件的风险，例如合同范围界定不清晰、合同计价方式不合理等，详见表</w:t>
      </w:r>
      <w:r>
        <w:rPr>
          <w:szCs w:val="21"/>
        </w:rPr>
        <w:t>2</w:t>
      </w:r>
      <w:r>
        <w:rPr>
          <w:szCs w:val="21"/>
        </w:rPr>
        <w:t>所示。</w:t>
      </w:r>
    </w:p>
    <w:p w:rsidR="009F692E" w:rsidRDefault="009111AE">
      <w:pPr>
        <w:ind w:firstLine="361"/>
        <w:jc w:val="center"/>
        <w:rPr>
          <w:b/>
          <w:sz w:val="18"/>
          <w:szCs w:val="18"/>
        </w:rPr>
      </w:pPr>
      <w:r>
        <w:rPr>
          <w:b/>
          <w:sz w:val="18"/>
          <w:szCs w:val="18"/>
        </w:rPr>
        <w:t>表</w:t>
      </w:r>
      <w:r>
        <w:rPr>
          <w:b/>
          <w:sz w:val="18"/>
          <w:szCs w:val="18"/>
        </w:rPr>
        <w:t xml:space="preserve">2   </w:t>
      </w:r>
      <w:r>
        <w:rPr>
          <w:b/>
          <w:sz w:val="18"/>
          <w:szCs w:val="18"/>
        </w:rPr>
        <w:t>工程建设项目中的管理失败风险</w:t>
      </w:r>
    </w:p>
    <w:tbl>
      <w:tblPr>
        <w:tblW w:w="8522" w:type="dxa"/>
        <w:jc w:val="center"/>
        <w:tblCellMar>
          <w:left w:w="10" w:type="dxa"/>
          <w:right w:w="10" w:type="dxa"/>
        </w:tblCellMar>
        <w:tblLook w:val="0000"/>
      </w:tblPr>
      <w:tblGrid>
        <w:gridCol w:w="2518"/>
        <w:gridCol w:w="6004"/>
      </w:tblGrid>
      <w:tr w:rsidR="009F692E">
        <w:tblPrEx>
          <w:tblCellMar>
            <w:top w:w="0" w:type="dxa"/>
            <w:bottom w:w="0" w:type="dxa"/>
          </w:tblCellMar>
        </w:tblPrEx>
        <w:trPr>
          <w:jc w:val="center"/>
        </w:trPr>
        <w:tc>
          <w:tcPr>
            <w:tcW w:w="2518"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序号</w:t>
            </w:r>
          </w:p>
        </w:tc>
        <w:tc>
          <w:tcPr>
            <w:tcW w:w="6004"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管理失败风险</w:t>
            </w:r>
          </w:p>
        </w:tc>
      </w:tr>
      <w:tr w:rsidR="009F692E">
        <w:tblPrEx>
          <w:tblCellMar>
            <w:top w:w="0" w:type="dxa"/>
            <w:bottom w:w="0" w:type="dxa"/>
          </w:tblCellMar>
        </w:tblPrEx>
        <w:trPr>
          <w:jc w:val="center"/>
        </w:trPr>
        <w:tc>
          <w:tcPr>
            <w:tcW w:w="2518"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1</w:t>
            </w:r>
          </w:p>
        </w:tc>
        <w:tc>
          <w:tcPr>
            <w:tcW w:w="6004"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合同制定的不完善</w:t>
            </w:r>
          </w:p>
        </w:tc>
      </w:tr>
      <w:tr w:rsidR="009F692E">
        <w:tblPrEx>
          <w:tblCellMar>
            <w:top w:w="0" w:type="dxa"/>
            <w:bottom w:w="0" w:type="dxa"/>
          </w:tblCellMar>
        </w:tblPrEx>
        <w:trPr>
          <w:jc w:val="center"/>
        </w:trPr>
        <w:tc>
          <w:tcPr>
            <w:tcW w:w="251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2</w:t>
            </w:r>
          </w:p>
        </w:tc>
        <w:tc>
          <w:tcPr>
            <w:tcW w:w="60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工程物资运送不及时（例如施工用的原材料、机具、设备）</w:t>
            </w:r>
          </w:p>
        </w:tc>
      </w:tr>
      <w:tr w:rsidR="009F692E">
        <w:tblPrEx>
          <w:tblCellMar>
            <w:top w:w="0" w:type="dxa"/>
            <w:bottom w:w="0" w:type="dxa"/>
          </w:tblCellMar>
        </w:tblPrEx>
        <w:trPr>
          <w:jc w:val="center"/>
        </w:trPr>
        <w:tc>
          <w:tcPr>
            <w:tcW w:w="251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3</w:t>
            </w:r>
          </w:p>
        </w:tc>
        <w:tc>
          <w:tcPr>
            <w:tcW w:w="60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成本管理出现错误</w:t>
            </w:r>
          </w:p>
        </w:tc>
      </w:tr>
      <w:tr w:rsidR="009F692E">
        <w:tblPrEx>
          <w:tblCellMar>
            <w:top w:w="0" w:type="dxa"/>
            <w:bottom w:w="0" w:type="dxa"/>
          </w:tblCellMar>
        </w:tblPrEx>
        <w:trPr>
          <w:jc w:val="center"/>
        </w:trPr>
        <w:tc>
          <w:tcPr>
            <w:tcW w:w="251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4</w:t>
            </w:r>
          </w:p>
        </w:tc>
        <w:tc>
          <w:tcPr>
            <w:tcW w:w="60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承包商分包风险</w:t>
            </w:r>
          </w:p>
        </w:tc>
      </w:tr>
      <w:tr w:rsidR="009F692E">
        <w:tblPrEx>
          <w:tblCellMar>
            <w:top w:w="0" w:type="dxa"/>
            <w:bottom w:w="0" w:type="dxa"/>
          </w:tblCellMar>
        </w:tblPrEx>
        <w:trPr>
          <w:jc w:val="center"/>
        </w:trPr>
        <w:tc>
          <w:tcPr>
            <w:tcW w:w="251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5</w:t>
            </w:r>
          </w:p>
        </w:tc>
        <w:tc>
          <w:tcPr>
            <w:tcW w:w="600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工程资金供应条件不利</w:t>
            </w:r>
          </w:p>
        </w:tc>
      </w:tr>
      <w:tr w:rsidR="009F692E">
        <w:tblPrEx>
          <w:tblCellMar>
            <w:top w:w="0" w:type="dxa"/>
            <w:bottom w:w="0" w:type="dxa"/>
          </w:tblCellMar>
        </w:tblPrEx>
        <w:trPr>
          <w:jc w:val="center"/>
        </w:trPr>
        <w:tc>
          <w:tcPr>
            <w:tcW w:w="2518"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center"/>
              <w:rPr>
                <w:szCs w:val="21"/>
              </w:rPr>
            </w:pPr>
            <w:r>
              <w:rPr>
                <w:szCs w:val="21"/>
              </w:rPr>
              <w:t>6</w:t>
            </w:r>
          </w:p>
        </w:tc>
        <w:tc>
          <w:tcPr>
            <w:tcW w:w="6004"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9F692E" w:rsidRDefault="009111AE">
            <w:pPr>
              <w:jc w:val="left"/>
              <w:rPr>
                <w:szCs w:val="21"/>
              </w:rPr>
            </w:pPr>
            <w:r>
              <w:rPr>
                <w:szCs w:val="21"/>
              </w:rPr>
              <w:t>信息安全控制风险</w:t>
            </w:r>
          </w:p>
        </w:tc>
      </w:tr>
    </w:tbl>
    <w:p w:rsidR="009F692E" w:rsidRDefault="009111AE">
      <w:pPr>
        <w:ind w:firstLine="360"/>
        <w:jc w:val="left"/>
        <w:rPr>
          <w:sz w:val="18"/>
          <w:szCs w:val="18"/>
        </w:rPr>
      </w:pPr>
      <w:r>
        <w:rPr>
          <w:sz w:val="18"/>
          <w:szCs w:val="18"/>
        </w:rPr>
        <w:t>（资料来源：</w:t>
      </w:r>
      <w:r>
        <w:rPr>
          <w:sz w:val="18"/>
          <w:szCs w:val="18"/>
        </w:rPr>
        <w:t>Zeynalian</w:t>
      </w:r>
      <w:r>
        <w:rPr>
          <w:sz w:val="18"/>
          <w:szCs w:val="18"/>
        </w:rPr>
        <w:t>等、张应语及本文作者整理）</w:t>
      </w:r>
    </w:p>
    <w:p w:rsidR="009F692E" w:rsidRDefault="009111AE">
      <w:pPr>
        <w:ind w:firstLine="420"/>
        <w:jc w:val="left"/>
        <w:rPr>
          <w:sz w:val="18"/>
          <w:szCs w:val="18"/>
        </w:rPr>
      </w:pPr>
      <w:r>
        <w:rPr>
          <w:szCs w:val="21"/>
        </w:rPr>
        <w:t>确定出项目失败风险后，可以采用故障树的方法计算出项目各种失败风险的概率。故障树分析法是一种逻辑因果关系分析方法，它是一种从系统到部件，再到零件，按照</w:t>
      </w:r>
      <w:r>
        <w:rPr>
          <w:szCs w:val="21"/>
        </w:rPr>
        <w:t>“</w:t>
      </w:r>
      <w:r>
        <w:rPr>
          <w:szCs w:val="21"/>
        </w:rPr>
        <w:t>下降形</w:t>
      </w:r>
      <w:r>
        <w:rPr>
          <w:szCs w:val="21"/>
        </w:rPr>
        <w:t>”</w:t>
      </w:r>
      <w:r>
        <w:rPr>
          <w:szCs w:val="21"/>
        </w:rPr>
        <w:t>分析的方法。故障图从上到下逐渐建树并根据事件而联系。它根据基本事件来显示系统的顶事件。这种分析方法可以确定项目顶部风险，以及导致该风险发生的各个交叉事件。</w:t>
      </w:r>
    </w:p>
    <w:p w:rsidR="009F692E" w:rsidRDefault="009111AE">
      <w:pPr>
        <w:jc w:val="center"/>
        <w:rPr>
          <w:b/>
          <w:sz w:val="24"/>
          <w:szCs w:val="24"/>
        </w:rPr>
      </w:pPr>
      <w:r>
        <w:rPr>
          <w:b/>
          <w:sz w:val="24"/>
          <w:szCs w:val="24"/>
        </w:rPr>
        <w:t>四、结束语</w:t>
      </w:r>
    </w:p>
    <w:p w:rsidR="009F692E" w:rsidRDefault="009111AE">
      <w:pPr>
        <w:ind w:firstLine="420"/>
        <w:jc w:val="left"/>
        <w:rPr>
          <w:szCs w:val="21"/>
        </w:rPr>
      </w:pPr>
      <w:r>
        <w:rPr>
          <w:szCs w:val="21"/>
        </w:rPr>
        <w:t>我国建筑施工企业一直缺乏合适的决策支持工具，用来同时解决项目在成本、进度和质量方面的风险问题。本文表明，</w:t>
      </w:r>
      <w:r>
        <w:rPr>
          <w:szCs w:val="21"/>
        </w:rPr>
        <w:t>APRAM</w:t>
      </w:r>
      <w:r>
        <w:rPr>
          <w:szCs w:val="21"/>
        </w:rPr>
        <w:t>模型可以提供一种风险分析技术，同时对工程建设项目的成本风险、时间风险和质</w:t>
      </w:r>
      <w:r>
        <w:rPr>
          <w:szCs w:val="21"/>
        </w:rPr>
        <w:t>量风险进行控制，通过整合项目的风险，对剩余预算资源进一步优化配置，预测项目失败的成本，最终降低施工企业的预期成本。</w:t>
      </w:r>
      <w:r>
        <w:br w:type="page"/>
      </w:r>
    </w:p>
    <w:p w:rsidR="009F692E" w:rsidRDefault="009111AE">
      <w:pPr>
        <w:ind w:firstLine="420"/>
        <w:jc w:val="left"/>
        <w:rPr>
          <w:szCs w:val="21"/>
        </w:rPr>
      </w:pPr>
      <w:r>
        <w:rPr>
          <w:szCs w:val="21"/>
        </w:rPr>
        <w:lastRenderedPageBreak/>
        <w:t>参考文献：</w:t>
      </w:r>
    </w:p>
    <w:p w:rsidR="009F692E" w:rsidRDefault="009111AE">
      <w:pPr>
        <w:numPr>
          <w:ilvl w:val="0"/>
          <w:numId w:val="1"/>
        </w:numPr>
        <w:spacing w:line="360" w:lineRule="atLeast"/>
        <w:ind w:left="720" w:hanging="720"/>
        <w:rPr>
          <w:szCs w:val="21"/>
        </w:rPr>
      </w:pPr>
      <w:r>
        <w:rPr>
          <w:szCs w:val="21"/>
        </w:rPr>
        <w:t>张应语</w:t>
      </w:r>
      <w:r>
        <w:rPr>
          <w:szCs w:val="21"/>
        </w:rPr>
        <w:t>,</w:t>
      </w:r>
      <w:r>
        <w:rPr>
          <w:szCs w:val="21"/>
        </w:rPr>
        <w:t>李志祥</w:t>
      </w:r>
      <w:r>
        <w:rPr>
          <w:szCs w:val="21"/>
        </w:rPr>
        <w:t>.</w:t>
      </w:r>
      <w:r>
        <w:rPr>
          <w:szCs w:val="21"/>
        </w:rPr>
        <w:t>基于管理风险偏好量表的管理风险偏好实证研究</w:t>
      </w:r>
      <w:r>
        <w:rPr>
          <w:szCs w:val="21"/>
        </w:rPr>
        <w:t>[J].</w:t>
      </w:r>
      <w:r>
        <w:rPr>
          <w:szCs w:val="21"/>
        </w:rPr>
        <w:t>中国软科学</w:t>
      </w:r>
      <w:r>
        <w:rPr>
          <w:szCs w:val="21"/>
        </w:rPr>
        <w:t>,2009.4:175-184.</w:t>
      </w:r>
    </w:p>
    <w:p w:rsidR="009F692E" w:rsidRDefault="009111AE">
      <w:pPr>
        <w:numPr>
          <w:ilvl w:val="0"/>
          <w:numId w:val="1"/>
        </w:numPr>
        <w:spacing w:line="360" w:lineRule="atLeast"/>
        <w:ind w:left="720" w:hanging="720"/>
        <w:rPr>
          <w:szCs w:val="21"/>
        </w:rPr>
      </w:pPr>
      <w:r>
        <w:rPr>
          <w:szCs w:val="21"/>
        </w:rPr>
        <w:t>张志军</w:t>
      </w:r>
      <w:r>
        <w:rPr>
          <w:szCs w:val="21"/>
        </w:rPr>
        <w:t>,</w:t>
      </w:r>
      <w:r>
        <w:rPr>
          <w:szCs w:val="21"/>
        </w:rPr>
        <w:t>马彩文</w:t>
      </w:r>
      <w:r>
        <w:rPr>
          <w:szCs w:val="21"/>
        </w:rPr>
        <w:t>,</w:t>
      </w:r>
      <w:r>
        <w:rPr>
          <w:szCs w:val="21"/>
        </w:rPr>
        <w:t>王秀菊</w:t>
      </w:r>
      <w:r>
        <w:rPr>
          <w:szCs w:val="21"/>
        </w:rPr>
        <w:t>,</w:t>
      </w:r>
      <w:r>
        <w:rPr>
          <w:szCs w:val="21"/>
        </w:rPr>
        <w:t>梁峰</w:t>
      </w:r>
      <w:r>
        <w:rPr>
          <w:szCs w:val="21"/>
        </w:rPr>
        <w:t>,</w:t>
      </w:r>
      <w:r>
        <w:rPr>
          <w:szCs w:val="21"/>
        </w:rPr>
        <w:t>陈金宏</w:t>
      </w:r>
      <w:r>
        <w:rPr>
          <w:szCs w:val="21"/>
        </w:rPr>
        <w:t>.</w:t>
      </w:r>
      <w:r>
        <w:rPr>
          <w:szCs w:val="21"/>
        </w:rPr>
        <w:t>项目管理视角下科研经费风险识别与防控措施研究</w:t>
      </w:r>
      <w:r>
        <w:rPr>
          <w:szCs w:val="21"/>
        </w:rPr>
        <w:t>[J].</w:t>
      </w:r>
      <w:r>
        <w:rPr>
          <w:szCs w:val="21"/>
        </w:rPr>
        <w:t>科技进步与对策</w:t>
      </w:r>
      <w:r>
        <w:rPr>
          <w:szCs w:val="21"/>
        </w:rPr>
        <w:t>,2015.12:1-8.</w:t>
      </w:r>
    </w:p>
    <w:p w:rsidR="009F692E" w:rsidRDefault="009111AE">
      <w:pPr>
        <w:numPr>
          <w:ilvl w:val="0"/>
          <w:numId w:val="1"/>
        </w:numPr>
        <w:ind w:left="720" w:hanging="720"/>
        <w:jc w:val="left"/>
        <w:rPr>
          <w:szCs w:val="21"/>
        </w:rPr>
      </w:pPr>
      <w:r>
        <w:rPr>
          <w:szCs w:val="21"/>
        </w:rPr>
        <w:t>William Imbeah, A.M.ASCE; and Seth Guikema, Managing Construction Proj</w:t>
      </w:r>
      <w:r>
        <w:rPr>
          <w:szCs w:val="21"/>
        </w:rPr>
        <w:t>ects Using the Advanced Programmatic Risk Analysis and Management Model. Journal of Construction Engineering and Management,2009,8:772-781.</w:t>
      </w:r>
    </w:p>
    <w:p w:rsidR="009F692E" w:rsidRDefault="009111AE">
      <w:pPr>
        <w:numPr>
          <w:ilvl w:val="0"/>
          <w:numId w:val="1"/>
        </w:numPr>
        <w:ind w:left="720" w:hanging="720"/>
        <w:jc w:val="left"/>
        <w:rPr>
          <w:szCs w:val="21"/>
        </w:rPr>
      </w:pPr>
      <w:r>
        <w:rPr>
          <w:szCs w:val="21"/>
        </w:rPr>
        <w:t>Mehran Zeynalian, Bambang Trigunarsyah, H.R. Ronagh, Modification of Advanced Programmatic Risk Analysis and Managem</w:t>
      </w:r>
      <w:r>
        <w:rPr>
          <w:szCs w:val="21"/>
        </w:rPr>
        <w:t>ent Model for the Whole Project Life Cycle's Risks. American Society of Civil Engineers, 2013,51-59.</w:t>
      </w:r>
    </w:p>
    <w:p w:rsidR="009F692E" w:rsidRDefault="009F692E">
      <w:pPr>
        <w:spacing w:line="360" w:lineRule="atLeast"/>
        <w:rPr>
          <w:szCs w:val="21"/>
        </w:rPr>
      </w:pPr>
    </w:p>
    <w:p w:rsidR="009F692E" w:rsidRDefault="009F692E">
      <w:pPr>
        <w:spacing w:line="360" w:lineRule="atLeast"/>
        <w:rPr>
          <w:szCs w:val="21"/>
        </w:rPr>
      </w:pPr>
    </w:p>
    <w:p w:rsidR="009F692E" w:rsidRDefault="009F692E">
      <w:pPr>
        <w:spacing w:line="360" w:lineRule="atLeast"/>
        <w:rPr>
          <w:szCs w:val="21"/>
        </w:rPr>
      </w:pPr>
    </w:p>
    <w:p w:rsidR="009F692E" w:rsidRDefault="009111AE">
      <w:pPr>
        <w:rPr>
          <w:rFonts w:ascii="宋体" w:hAnsi="宋体"/>
          <w:szCs w:val="21"/>
        </w:rPr>
      </w:pPr>
      <w:r>
        <w:rPr>
          <w:rFonts w:ascii="宋体" w:hAnsi="宋体" w:hint="eastAsia"/>
          <w:szCs w:val="21"/>
        </w:rPr>
        <w:t>作者简介：</w:t>
      </w:r>
    </w:p>
    <w:p w:rsidR="009F692E" w:rsidRDefault="009111AE">
      <w:pPr>
        <w:rPr>
          <w:szCs w:val="21"/>
        </w:rPr>
      </w:pPr>
      <w:r>
        <w:rPr>
          <w:szCs w:val="21"/>
        </w:rPr>
        <w:t>任杰（</w:t>
      </w:r>
      <w:r>
        <w:rPr>
          <w:rFonts w:ascii="宋体" w:hAnsi="宋体" w:hint="eastAsia"/>
          <w:szCs w:val="21"/>
        </w:rPr>
        <w:t>1976-</w:t>
      </w:r>
      <w:r>
        <w:rPr>
          <w:szCs w:val="21"/>
        </w:rPr>
        <w:t>），女，宁夏中卫人，宁夏大学副教授，管理学博士，北京交通大学产业安全研究中心博士后。研究方向：项目管理、项目评价。</w:t>
      </w:r>
    </w:p>
    <w:p w:rsidR="009F692E" w:rsidRDefault="009F692E">
      <w:pPr>
        <w:rPr>
          <w:rFonts w:ascii="宋体" w:hAnsi="宋体"/>
          <w:szCs w:val="21"/>
        </w:rPr>
      </w:pPr>
    </w:p>
    <w:p w:rsidR="009F692E" w:rsidRDefault="009111AE">
      <w:pPr>
        <w:rPr>
          <w:szCs w:val="21"/>
        </w:rPr>
      </w:pPr>
      <w:r>
        <w:rPr>
          <w:rFonts w:ascii="宋体" w:hAnsi="宋体" w:hint="eastAsia"/>
          <w:szCs w:val="21"/>
        </w:rPr>
        <w:t>地址：宁夏大学土木与水利工程学院</w:t>
      </w:r>
    </w:p>
    <w:p w:rsidR="009F692E" w:rsidRDefault="009F692E">
      <w:pPr>
        <w:spacing w:line="360" w:lineRule="atLeast"/>
        <w:rPr>
          <w:szCs w:val="21"/>
        </w:rPr>
      </w:pPr>
    </w:p>
    <w:sectPr w:rsidR="009F692E" w:rsidSect="009F692E">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22B"/>
    <w:multiLevelType w:val="multilevel"/>
    <w:tmpl w:val="47E0B9DA"/>
    <w:name w:val="编号列表 1"/>
    <w:lvl w:ilvl="0">
      <w:start w:val="1"/>
      <w:numFmt w:val="decimal"/>
      <w:lvlText w:val="[%1]"/>
      <w:lvlJc w:val="left"/>
      <w:pPr>
        <w:ind w:left="0" w:firstLine="0"/>
      </w:pPr>
      <w:rPr>
        <w:lang w:val="en-US"/>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
    <w:nsid w:val="48036A3B"/>
    <w:multiLevelType w:val="singleLevel"/>
    <w:tmpl w:val="6868D4F8"/>
    <w:name w:val="Bullet 2"/>
    <w:lvl w:ilvl="0">
      <w:start w:val="1"/>
      <w:numFmt w:val="decimal"/>
      <w:lvlText w:val="%1"/>
      <w:lvlJc w:val="left"/>
      <w:pPr>
        <w:tabs>
          <w:tab w:val="num" w:pos="0"/>
        </w:tabs>
        <w:ind w:left="0" w:firstLine="0"/>
      </w:pPr>
      <w:rPr>
        <w:lang w:val="en-US"/>
      </w:rPr>
    </w:lvl>
  </w:abstractNum>
  <w:abstractNum w:abstractNumId="2">
    <w:nsid w:val="494B0166"/>
    <w:multiLevelType w:val="multilevel"/>
    <w:tmpl w:val="9A7C086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58B157D8"/>
    <w:multiLevelType w:val="singleLevel"/>
    <w:tmpl w:val="5E0434B2"/>
    <w:name w:val="Bullet 4"/>
    <w:lvl w:ilvl="0">
      <w:start w:val="1"/>
      <w:numFmt w:val="lowerRoman"/>
      <w:lvlText w:val="%1"/>
      <w:lvlJc w:val="left"/>
      <w:pPr>
        <w:tabs>
          <w:tab w:val="num" w:pos="0"/>
        </w:tabs>
        <w:ind w:left="0" w:firstLine="0"/>
      </w:pPr>
    </w:lvl>
  </w:abstractNum>
  <w:abstractNum w:abstractNumId="4">
    <w:nsid w:val="6BC0743E"/>
    <w:multiLevelType w:val="singleLevel"/>
    <w:tmpl w:val="59D6E2B0"/>
    <w:name w:val="Bullet 5"/>
    <w:lvl w:ilvl="0">
      <w:start w:val="1"/>
      <w:numFmt w:val="decimal"/>
      <w:lvlText w:val="%1"/>
      <w:lvlJc w:val="left"/>
      <w:pPr>
        <w:tabs>
          <w:tab w:val="num" w:pos="0"/>
        </w:tabs>
        <w:ind w:left="0" w:firstLine="0"/>
      </w:pPr>
    </w:lvl>
  </w:abstractNum>
  <w:abstractNum w:abstractNumId="5">
    <w:nsid w:val="6F02785B"/>
    <w:multiLevelType w:val="singleLevel"/>
    <w:tmpl w:val="FAA635C8"/>
    <w:name w:val="Bullet 3"/>
    <w:lvl w:ilvl="0">
      <w:start w:val="1"/>
      <w:numFmt w:val="lowerLetter"/>
      <w:lvlText w:val="%1"/>
      <w:lvlJc w:val="left"/>
      <w:pPr>
        <w:tabs>
          <w:tab w:val="num" w:pos="0"/>
        </w:tabs>
        <w:ind w:left="0" w:firstLine="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9F692E"/>
    <w:rsid w:val="001C0CBF"/>
    <w:rsid w:val="009111AE"/>
    <w:rsid w:val="009F6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arc" idref="#弧形1"/>
        <o:r id="V:Rule20" type="arc" idref="#弧形2"/>
        <o:r id="V:Rule21" type="arc" idref="#弧形3"/>
        <o:r id="V:Rule23" type="connector" idref="#连接线16"/>
        <o:r id="V:Rule24" type="connector" idref="#连接线15"/>
        <o:r id="V:Rule25" type="connector" idref="#连接线4"/>
        <o:r id="V:Rule26" type="connector" idref="#连接线9"/>
        <o:r id="V:Rule27" type="connector" idref="#连接线2"/>
        <o:r id="V:Rule28" type="connector" idref="#连接线14"/>
        <o:r id="V:Rule29" type="connector" idref="#连接线1"/>
        <o:r id="V:Rule30" type="connector" idref="#连接线17"/>
        <o:r id="V:Rule31" type="connector" idref="#连接线5"/>
        <o:r id="V:Rule32" type="connector" idref="#连接线10"/>
        <o:r id="V:Rule33" type="connector" idref="#连接线13"/>
        <o:r id="V:Rule34" type="connector" idref="#连接线6"/>
        <o:r id="V:Rule35" type="connector" idref="#连接线11"/>
        <o:r id="V:Rule36" type="connector" idref="#连接线3"/>
        <o:r id="V:Rule37" type="connector" idref="#连接线8"/>
        <o:r id="V:Rule38" type="connector" idref="#连接线19"/>
        <o:r id="V:Rule39" type="connector" idref="#连接线7"/>
        <o:r id="V:Rule40" type="connector" idref="#连接线18"/>
        <o:r id="V:Rule41" type="connector" idref="#连接线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F6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表字体"/>
    <w:qFormat/>
    <w:rsid w:val="009F692E"/>
    <w:rPr>
      <w:rFonts w:cs="Arial"/>
      <w:sz w:val="18"/>
      <w:szCs w:val="21"/>
    </w:rPr>
  </w:style>
  <w:style w:type="paragraph" w:customStyle="1" w:styleId="Header">
    <w:name w:val="Header"/>
    <w:qFormat/>
    <w:rsid w:val="009F692E"/>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9F692E"/>
    <w:pPr>
      <w:tabs>
        <w:tab w:val="center" w:pos="4153"/>
        <w:tab w:val="right" w:pos="8306"/>
      </w:tabs>
      <w:jc w:val="left"/>
    </w:pPr>
    <w:rPr>
      <w:sz w:val="18"/>
      <w:szCs w:val="18"/>
    </w:rPr>
  </w:style>
  <w:style w:type="paragraph" w:styleId="a4">
    <w:name w:val="Balloon Text"/>
    <w:qFormat/>
    <w:rsid w:val="009F692E"/>
    <w:rPr>
      <w:sz w:val="18"/>
      <w:szCs w:val="18"/>
    </w:rPr>
  </w:style>
  <w:style w:type="paragraph" w:customStyle="1" w:styleId="TTPAddress">
    <w:name w:val="TTP Address"/>
    <w:qFormat/>
    <w:rsid w:val="009F692E"/>
    <w:pPr>
      <w:widowControl/>
      <w:spacing w:before="120"/>
      <w:jc w:val="center"/>
    </w:pPr>
    <w:rPr>
      <w:rFonts w:ascii="Arial" w:eastAsia="宋体" w:hAnsi="Arial" w:cs="Arial"/>
      <w:sz w:val="22"/>
    </w:rPr>
  </w:style>
  <w:style w:type="paragraph" w:styleId="a5">
    <w:name w:val="List Paragraph"/>
    <w:qFormat/>
    <w:rsid w:val="009F692E"/>
    <w:pPr>
      <w:ind w:firstLine="420"/>
    </w:pPr>
  </w:style>
  <w:style w:type="character" w:customStyle="1" w:styleId="Char">
    <w:name w:val="图表字体 Char"/>
    <w:rsid w:val="009F692E"/>
    <w:rPr>
      <w:rFonts w:ascii="Calibri" w:hAnsi="Calibri" w:cs="Arial"/>
      <w:color w:val="000000"/>
      <w:sz w:val="18"/>
      <w:szCs w:val="21"/>
    </w:rPr>
  </w:style>
  <w:style w:type="character" w:customStyle="1" w:styleId="Char0">
    <w:name w:val="页眉 Char"/>
    <w:rsid w:val="009F692E"/>
    <w:rPr>
      <w:sz w:val="18"/>
      <w:szCs w:val="18"/>
    </w:rPr>
  </w:style>
  <w:style w:type="character" w:customStyle="1" w:styleId="Char1">
    <w:name w:val="页脚 Char"/>
    <w:rsid w:val="009F692E"/>
    <w:rPr>
      <w:sz w:val="18"/>
      <w:szCs w:val="18"/>
    </w:rPr>
  </w:style>
  <w:style w:type="character" w:customStyle="1" w:styleId="apple-converted-space">
    <w:name w:val="apple-converted-space"/>
    <w:rsid w:val="009F692E"/>
  </w:style>
  <w:style w:type="character" w:customStyle="1" w:styleId="Char2">
    <w:name w:val="批注框文本 Char"/>
    <w:rsid w:val="009F692E"/>
    <w:rPr>
      <w:sz w:val="18"/>
      <w:szCs w:val="18"/>
    </w:rPr>
  </w:style>
  <w:style w:type="character" w:styleId="a6">
    <w:name w:val="Hyperlink"/>
    <w:rsid w:val="009F692E"/>
    <w:rPr>
      <w:color w:val="0000FF"/>
      <w:u w:val="single"/>
    </w:rPr>
  </w:style>
  <w:style w:type="character" w:styleId="a7">
    <w:name w:val="Placeholder Text"/>
    <w:rsid w:val="009F69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customStyle="1">
    <w:name w:val="图表字体"/>
    <w:qFormat/>
    <w:basedOn w:val=""/>
    <w:rPr>
      <w:rFonts w:cs="Arial"/>
      <w:sz w:val="18"/>
      <w:szCs w:val="21"/>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paragraph" w:styleId="TTPAddress" w:customStyle="1">
    <w:name w:val="TTP Address"/>
    <w:qFormat/>
    <w:basedOn w:val=""/>
    <w:pPr>
      <w:spacing w:before="120"/>
      <w:jc w:val="center"/>
      <w:widowControl/>
    </w:pPr>
    <w:rPr>
      <w:rFonts w:ascii="Arial" w:hAnsi="Arial" w:eastAsia="宋体" w:cs="Arial"/>
      <w:sz w:val="22"/>
    </w:rPr>
  </w:style>
  <w:style w:type="paragraph" w:styleId="">
    <w:name w:val="List Paragraph"/>
    <w:qFormat/>
    <w:basedOn w:val=""/>
    <w:pPr>
      <w:ind w:firstLine="420"/>
    </w:pPr>
  </w:style>
  <w:style w:type="character" w:styleId="" w:default="1">
    <w:name w:val="Default Paragraph Font"/>
  </w:style>
  <w:style w:type="character" w:styleId="Char" w:customStyle="1">
    <w:name w:val="图表字体 Char"/>
    <w:basedOn w:val=""/>
    <w:rPr>
      <w:rFonts w:ascii="Calibri" w:hAnsi="Calibri" w:cs="Arial"/>
      <w:color w:val="000000"/>
      <w:sz w:val="18"/>
      <w:szCs w:val="21"/>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apple-converted-space" w:customStyle="1">
    <w:name w:val="apple-converted-space"/>
    <w:basedOn w:val=""/>
  </w:style>
  <w:style w:type="character" w:styleId="Char" w:customStyle="1">
    <w:name w:val="批注框文本 Char"/>
    <w:basedOn w:val=""/>
    <w:rPr>
      <w:sz w:val="18"/>
      <w:szCs w:val="18"/>
    </w:rPr>
  </w:style>
  <w:style w:type="character" w:styleId="">
    <w:name w:val="Hyperlink"/>
    <w:rPr>
      <w:color w:val="0000ff"/>
      <w:u w:color="auto" w:val="single"/>
    </w:rPr>
  </w:style>
  <w:style w:type="character" w:styleId="">
    <w:name w:val="Placeholder Text"/>
    <w:basedOn w:val=""/>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xbany</cp:lastModifiedBy>
  <cp:revision>2</cp:revision>
  <dcterms:created xsi:type="dcterms:W3CDTF">2017-10-21T06:22:00Z</dcterms:created>
  <dcterms:modified xsi:type="dcterms:W3CDTF">2017-10-21T06:22:00Z</dcterms:modified>
</cp:coreProperties>
</file>