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93F" w:rsidRDefault="00996760">
      <w:pPr>
        <w:pStyle w:val="2"/>
        <w:jc w:val="center"/>
        <w:rPr>
          <w:rFonts w:ascii="Calibri" w:eastAsia="Calibri" w:hAnsi="Calibri"/>
          <w:bCs w:val="0"/>
          <w:sz w:val="36"/>
          <w:szCs w:val="36"/>
        </w:rPr>
      </w:pPr>
      <w:r>
        <w:rPr>
          <w:rFonts w:ascii="Calibri" w:eastAsia="Calibri" w:hAnsi="Calibri"/>
          <w:bCs w:val="0"/>
          <w:sz w:val="36"/>
          <w:szCs w:val="36"/>
        </w:rPr>
        <w:t>海外工程项目的税务管理和规划</w:t>
      </w:r>
    </w:p>
    <w:p w:rsidR="0006193F" w:rsidRDefault="00996760">
      <w:pPr>
        <w:rPr>
          <w:szCs w:val="21"/>
          <w:shd w:val="clear" w:color="auto" w:fill="FFFFFF"/>
        </w:rPr>
      </w:pPr>
      <w:r>
        <w:rPr>
          <w:szCs w:val="21"/>
          <w:shd w:val="clear" w:color="auto" w:fill="FFFFFF"/>
        </w:rPr>
        <w:t>作者简介：成博怀</w:t>
      </w:r>
      <w:r>
        <w:rPr>
          <w:szCs w:val="21"/>
          <w:shd w:val="clear" w:color="auto" w:fill="FFFFFF"/>
        </w:rPr>
        <w:t xml:space="preserve"> </w:t>
      </w:r>
      <w:r>
        <w:rPr>
          <w:szCs w:val="21"/>
          <w:shd w:val="clear" w:color="auto" w:fill="FFFFFF"/>
        </w:rPr>
        <w:t>出生年份</w:t>
      </w:r>
      <w:r>
        <w:rPr>
          <w:szCs w:val="21"/>
          <w:shd w:val="clear" w:color="auto" w:fill="FFFFFF"/>
        </w:rPr>
        <w:t>-1983</w:t>
      </w:r>
      <w:r>
        <w:rPr>
          <w:szCs w:val="21"/>
          <w:shd w:val="clear" w:color="auto" w:fill="FFFFFF"/>
        </w:rPr>
        <w:t>年</w:t>
      </w:r>
      <w:r>
        <w:rPr>
          <w:szCs w:val="21"/>
          <w:shd w:val="clear" w:color="auto" w:fill="FFFFFF"/>
        </w:rPr>
        <w:t>9</w:t>
      </w:r>
      <w:r>
        <w:rPr>
          <w:szCs w:val="21"/>
          <w:shd w:val="clear" w:color="auto" w:fill="FFFFFF"/>
        </w:rPr>
        <w:t>月</w:t>
      </w:r>
      <w:r>
        <w:rPr>
          <w:szCs w:val="21"/>
          <w:shd w:val="clear" w:color="auto" w:fill="FFFFFF"/>
        </w:rPr>
        <w:t xml:space="preserve"> </w:t>
      </w:r>
      <w:r>
        <w:rPr>
          <w:szCs w:val="21"/>
          <w:shd w:val="clear" w:color="auto" w:fill="FFFFFF"/>
        </w:rPr>
        <w:t>性别</w:t>
      </w:r>
      <w:r>
        <w:rPr>
          <w:szCs w:val="21"/>
          <w:shd w:val="clear" w:color="auto" w:fill="FFFFFF"/>
        </w:rPr>
        <w:t>-</w:t>
      </w:r>
      <w:r>
        <w:rPr>
          <w:szCs w:val="21"/>
          <w:shd w:val="clear" w:color="auto" w:fill="FFFFFF"/>
        </w:rPr>
        <w:t>男</w:t>
      </w:r>
      <w:r>
        <w:rPr>
          <w:szCs w:val="21"/>
          <w:shd w:val="clear" w:color="auto" w:fill="FFFFFF"/>
        </w:rPr>
        <w:t xml:space="preserve"> </w:t>
      </w:r>
      <w:r>
        <w:rPr>
          <w:szCs w:val="21"/>
          <w:shd w:val="clear" w:color="auto" w:fill="FFFFFF"/>
        </w:rPr>
        <w:t>籍贯</w:t>
      </w:r>
      <w:r>
        <w:rPr>
          <w:szCs w:val="21"/>
          <w:shd w:val="clear" w:color="auto" w:fill="FFFFFF"/>
        </w:rPr>
        <w:t>-</w:t>
      </w:r>
      <w:r>
        <w:rPr>
          <w:szCs w:val="21"/>
          <w:shd w:val="clear" w:color="auto" w:fill="FFFFFF"/>
        </w:rPr>
        <w:t>山西</w:t>
      </w:r>
      <w:r>
        <w:rPr>
          <w:szCs w:val="21"/>
          <w:shd w:val="clear" w:color="auto" w:fill="FFFFFF"/>
        </w:rPr>
        <w:t xml:space="preserve"> </w:t>
      </w:r>
      <w:r>
        <w:rPr>
          <w:szCs w:val="21"/>
          <w:shd w:val="clear" w:color="auto" w:fill="FFFFFF"/>
        </w:rPr>
        <w:t>单位</w:t>
      </w:r>
      <w:r>
        <w:rPr>
          <w:szCs w:val="21"/>
          <w:shd w:val="clear" w:color="auto" w:fill="FFFFFF"/>
        </w:rPr>
        <w:t>-</w:t>
      </w:r>
      <w:r>
        <w:rPr>
          <w:szCs w:val="21"/>
          <w:shd w:val="clear" w:color="auto" w:fill="FFFFFF"/>
        </w:rPr>
        <w:t>中铁三局北京国际工程分公司</w:t>
      </w:r>
      <w:r>
        <w:rPr>
          <w:szCs w:val="21"/>
          <w:shd w:val="clear" w:color="auto" w:fill="FFFFFF"/>
        </w:rPr>
        <w:t xml:space="preserve"> </w:t>
      </w:r>
      <w:r>
        <w:rPr>
          <w:szCs w:val="21"/>
          <w:shd w:val="clear" w:color="auto" w:fill="FFFFFF"/>
        </w:rPr>
        <w:t>职称</w:t>
      </w:r>
      <w:r>
        <w:rPr>
          <w:szCs w:val="21"/>
          <w:shd w:val="clear" w:color="auto" w:fill="FFFFFF"/>
        </w:rPr>
        <w:t>-</w:t>
      </w:r>
      <w:r>
        <w:rPr>
          <w:szCs w:val="21"/>
          <w:shd w:val="clear" w:color="auto" w:fill="FFFFFF"/>
        </w:rPr>
        <w:t>中级会计师</w:t>
      </w:r>
      <w:r>
        <w:rPr>
          <w:szCs w:val="21"/>
          <w:shd w:val="clear" w:color="auto" w:fill="FFFFFF"/>
        </w:rPr>
        <w:t xml:space="preserve"> </w:t>
      </w:r>
      <w:r>
        <w:rPr>
          <w:szCs w:val="21"/>
          <w:shd w:val="clear" w:color="auto" w:fill="FFFFFF"/>
        </w:rPr>
        <w:t>学位</w:t>
      </w:r>
      <w:r>
        <w:rPr>
          <w:szCs w:val="21"/>
          <w:shd w:val="clear" w:color="auto" w:fill="FFFFFF"/>
        </w:rPr>
        <w:t>:</w:t>
      </w:r>
      <w:r>
        <w:rPr>
          <w:szCs w:val="21"/>
          <w:shd w:val="clear" w:color="auto" w:fill="FFFFFF"/>
        </w:rPr>
        <w:t>管理学学士</w:t>
      </w:r>
    </w:p>
    <w:p w:rsidR="0006193F" w:rsidRDefault="00996760">
      <w:pPr>
        <w:ind w:firstLine="621"/>
        <w:rPr>
          <w:sz w:val="28"/>
          <w:szCs w:val="28"/>
        </w:rPr>
      </w:pPr>
      <w:r>
        <w:rPr>
          <w:b/>
          <w:sz w:val="28"/>
          <w:szCs w:val="28"/>
        </w:rPr>
        <w:t>摘要</w:t>
      </w:r>
      <w:r>
        <w:rPr>
          <w:sz w:val="28"/>
          <w:szCs w:val="28"/>
        </w:rPr>
        <w:t>：税收是国家财政收入的主要形式，具有无偿性、强制性和固定性的特定。税务管理和规划是海外工程项目管理的重要环节，是纳税人在法律允许的范围内，通过对经营、投资、理财等经济活动的规划和安排，充分利用税收优惠政策和差别待遇，达到少缴税和递延纳税的目标，以减轻税负，实现整体税后收益最大化的活动。</w:t>
      </w:r>
      <w:r>
        <w:rPr>
          <w:sz w:val="28"/>
          <w:szCs w:val="28"/>
        </w:rPr>
        <w:t>本文以埃塞俄比亚、乌干达等国的税务实操为基础，对海外工程项目的人工成本、材料成本、机械成本、资金支出、财会业务、组织模式等方面进行了税务规划的阐述。</w:t>
      </w:r>
    </w:p>
    <w:p w:rsidR="0006193F" w:rsidRDefault="00996760">
      <w:pPr>
        <w:ind w:firstLine="562"/>
        <w:rPr>
          <w:sz w:val="28"/>
          <w:szCs w:val="28"/>
        </w:rPr>
      </w:pPr>
      <w:r>
        <w:rPr>
          <w:b/>
          <w:sz w:val="28"/>
          <w:szCs w:val="28"/>
        </w:rPr>
        <w:t>关键词</w:t>
      </w:r>
      <w:r>
        <w:rPr>
          <w:sz w:val="28"/>
          <w:szCs w:val="28"/>
        </w:rPr>
        <w:t>：税务管理</w:t>
      </w:r>
      <w:r>
        <w:rPr>
          <w:sz w:val="28"/>
          <w:szCs w:val="28"/>
        </w:rPr>
        <w:t xml:space="preserve"> </w:t>
      </w:r>
      <w:r>
        <w:rPr>
          <w:sz w:val="28"/>
          <w:szCs w:val="28"/>
        </w:rPr>
        <w:t>税务规划</w:t>
      </w:r>
      <w:r>
        <w:rPr>
          <w:sz w:val="28"/>
          <w:szCs w:val="28"/>
        </w:rPr>
        <w:t xml:space="preserve"> </w:t>
      </w:r>
      <w:r>
        <w:rPr>
          <w:sz w:val="28"/>
          <w:szCs w:val="28"/>
        </w:rPr>
        <w:t>避免双重征税协定</w:t>
      </w:r>
      <w:r>
        <w:rPr>
          <w:sz w:val="28"/>
          <w:szCs w:val="28"/>
        </w:rPr>
        <w:t xml:space="preserve"> </w:t>
      </w:r>
      <w:r>
        <w:rPr>
          <w:sz w:val="28"/>
          <w:szCs w:val="28"/>
        </w:rPr>
        <w:t>汇兑损益</w:t>
      </w:r>
      <w:r>
        <w:rPr>
          <w:sz w:val="28"/>
          <w:szCs w:val="28"/>
        </w:rPr>
        <w:t xml:space="preserve"> </w:t>
      </w:r>
      <w:r>
        <w:rPr>
          <w:sz w:val="28"/>
          <w:szCs w:val="28"/>
        </w:rPr>
        <w:t>折旧</w:t>
      </w:r>
    </w:p>
    <w:p w:rsidR="0006193F" w:rsidRDefault="00996760">
      <w:pPr>
        <w:rPr>
          <w:sz w:val="28"/>
          <w:szCs w:val="28"/>
        </w:rPr>
      </w:pPr>
      <w:r>
        <w:rPr>
          <w:b/>
          <w:sz w:val="28"/>
          <w:szCs w:val="28"/>
        </w:rPr>
        <w:t xml:space="preserve">Abstract: </w:t>
      </w:r>
      <w:r>
        <w:rPr>
          <w:sz w:val="28"/>
          <w:szCs w:val="28"/>
        </w:rPr>
        <w:t>Tax is the main form of national fiscal revenue, which is free, mandatory and fixed. Tax management and planning is an important part of ove</w:t>
      </w:r>
      <w:r>
        <w:rPr>
          <w:sz w:val="28"/>
          <w:szCs w:val="28"/>
        </w:rPr>
        <w:t>rseas construction project management, the taxpayers make full use of the preferential tax policy and differential treatment by law, through the operation, investment, finance and other economic activities planning and arrangements, reaching less tax and d</w:t>
      </w:r>
      <w:r>
        <w:rPr>
          <w:sz w:val="28"/>
          <w:szCs w:val="28"/>
        </w:rPr>
        <w:t>eferred tax, to reduce tax burden and realize the maximization of the post-tax profit. In this paper, tax management and planning is described from labor cost, material cost, machinery costs, capital expenditure, accounting method, organization mode of the</w:t>
      </w:r>
      <w:r>
        <w:rPr>
          <w:sz w:val="28"/>
          <w:szCs w:val="28"/>
        </w:rPr>
        <w:t xml:space="preserve"> overseas projects. It is based on the tax practice of Ethiopia, Uganda and other countries.</w:t>
      </w:r>
    </w:p>
    <w:p w:rsidR="0006193F" w:rsidRDefault="00996760">
      <w:pPr>
        <w:rPr>
          <w:sz w:val="28"/>
          <w:szCs w:val="28"/>
        </w:rPr>
      </w:pPr>
      <w:r>
        <w:rPr>
          <w:b/>
          <w:sz w:val="28"/>
          <w:szCs w:val="28"/>
        </w:rPr>
        <w:t>Keywords:</w:t>
      </w:r>
      <w:r>
        <w:rPr>
          <w:sz w:val="28"/>
          <w:szCs w:val="28"/>
        </w:rPr>
        <w:t xml:space="preserve"> Tax management, Tax planning, Agreement for avoidance of double taxation, Exchange gains and losses, Depreciation.</w:t>
      </w:r>
    </w:p>
    <w:p w:rsidR="0006193F" w:rsidRDefault="00996760">
      <w:pPr>
        <w:ind w:firstLine="560"/>
        <w:rPr>
          <w:sz w:val="28"/>
          <w:szCs w:val="28"/>
        </w:rPr>
      </w:pPr>
      <w:r>
        <w:rPr>
          <w:sz w:val="28"/>
          <w:szCs w:val="28"/>
        </w:rPr>
        <w:t>海外工程项目的税务支出直接或者间接地影响着项目的成本和现金流，加强税务管理，</w:t>
      </w:r>
      <w:r>
        <w:rPr>
          <w:sz w:val="28"/>
          <w:szCs w:val="28"/>
        </w:rPr>
        <w:t>进行税务规划，有助于规避税务风险，降低施工成本；促进企业利润最大化的实现；可以提升海外项目的管理水平，提高海外项目的管理效率。海外工程项目所在国家的市场准入条件不同，涉税内容也各不尽相同，一般情况下海外的主要税种包括：（</w:t>
      </w:r>
      <w:r>
        <w:rPr>
          <w:sz w:val="28"/>
          <w:szCs w:val="28"/>
        </w:rPr>
        <w:t>1</w:t>
      </w:r>
      <w:r>
        <w:rPr>
          <w:sz w:val="28"/>
          <w:szCs w:val="28"/>
        </w:rPr>
        <w:t>）流转税，以营业额为基准征收，包括增值税、销售税、消费税、营业税等；（</w:t>
      </w:r>
      <w:r>
        <w:rPr>
          <w:sz w:val="28"/>
          <w:szCs w:val="28"/>
        </w:rPr>
        <w:t>2</w:t>
      </w:r>
      <w:r>
        <w:rPr>
          <w:sz w:val="28"/>
          <w:szCs w:val="28"/>
        </w:rPr>
        <w:t>）所得税，对公司和个人的纯收入（利润）征收，包括企业所得税和个人所得税；（</w:t>
      </w:r>
      <w:r>
        <w:rPr>
          <w:sz w:val="28"/>
          <w:szCs w:val="28"/>
        </w:rPr>
        <w:t>3</w:t>
      </w:r>
      <w:r>
        <w:rPr>
          <w:sz w:val="28"/>
          <w:szCs w:val="28"/>
        </w:rPr>
        <w:t>）海关税费，包括进出口关税，进口环节增值税、附加税等；（</w:t>
      </w:r>
      <w:r>
        <w:rPr>
          <w:sz w:val="28"/>
          <w:szCs w:val="28"/>
        </w:rPr>
        <w:t>4</w:t>
      </w:r>
      <w:r>
        <w:rPr>
          <w:sz w:val="28"/>
          <w:szCs w:val="28"/>
        </w:rPr>
        <w:t>）印花税等其他税种。</w:t>
      </w:r>
    </w:p>
    <w:p w:rsidR="0006193F" w:rsidRDefault="00996760">
      <w:pPr>
        <w:ind w:left="-139" w:firstLine="703"/>
        <w:rPr>
          <w:b/>
          <w:sz w:val="28"/>
          <w:szCs w:val="28"/>
        </w:rPr>
      </w:pPr>
      <w:r>
        <w:rPr>
          <w:b/>
          <w:sz w:val="28"/>
          <w:szCs w:val="28"/>
        </w:rPr>
        <w:t>一、人工成本规划</w:t>
      </w:r>
    </w:p>
    <w:p w:rsidR="0006193F" w:rsidRDefault="00996760">
      <w:pPr>
        <w:ind w:firstLine="560"/>
        <w:rPr>
          <w:sz w:val="28"/>
          <w:szCs w:val="28"/>
        </w:rPr>
      </w:pPr>
      <w:r>
        <w:rPr>
          <w:sz w:val="28"/>
          <w:szCs w:val="28"/>
        </w:rPr>
        <w:t>（一）充分了解并利用个人所得税税前抵免政策，</w:t>
      </w:r>
      <w:r>
        <w:rPr>
          <w:sz w:val="28"/>
          <w:szCs w:val="28"/>
        </w:rPr>
        <w:t>降低应纳个人所得税基准，减少税费支出。职工薪酬的税额计算允许扣减规定</w:t>
      </w:r>
      <w:r>
        <w:rPr>
          <w:sz w:val="28"/>
          <w:szCs w:val="28"/>
        </w:rPr>
        <w:lastRenderedPageBreak/>
        <w:t>限额的费用开支，如埃塞税法规定不超过职工薪酬</w:t>
      </w:r>
      <w:r>
        <w:rPr>
          <w:sz w:val="28"/>
          <w:szCs w:val="28"/>
        </w:rPr>
        <w:t>25%</w:t>
      </w:r>
      <w:r>
        <w:rPr>
          <w:sz w:val="28"/>
          <w:szCs w:val="28"/>
        </w:rPr>
        <w:t>或者</w:t>
      </w:r>
      <w:r>
        <w:rPr>
          <w:sz w:val="28"/>
          <w:szCs w:val="28"/>
        </w:rPr>
        <w:t>1000</w:t>
      </w:r>
      <w:r>
        <w:rPr>
          <w:sz w:val="28"/>
          <w:szCs w:val="28"/>
        </w:rPr>
        <w:t>比尔的补助可以在税前扣除；养老保险可以税前扣除等。</w:t>
      </w:r>
    </w:p>
    <w:p w:rsidR="0006193F" w:rsidRDefault="00996760">
      <w:pPr>
        <w:ind w:firstLine="560"/>
        <w:rPr>
          <w:sz w:val="28"/>
          <w:szCs w:val="28"/>
        </w:rPr>
      </w:pPr>
      <w:r>
        <w:rPr>
          <w:sz w:val="28"/>
          <w:szCs w:val="28"/>
        </w:rPr>
        <w:t>（二）结合所在国移民管理政策，进行个人所得税和企业所得税对比，测算中方人员工资的纳税优惠额。由于中方人员工资一般不在项目所在国进行支付，所在国税务机构对实际工资发放的监控比较困难，个人所得税税基的确定存在调整空间，可以选择部分薪酬在所在国计算缴纳个人所得税，其余部门在国内计缴，以达到最优个人所得税方案。个人所得税一般采用超额累进</w:t>
      </w:r>
      <w:r>
        <w:rPr>
          <w:sz w:val="28"/>
          <w:szCs w:val="28"/>
        </w:rPr>
        <w:t>税率，而企业所得税则是固定税率，进行对比测算以确定适当的职工薪酬申报金额，降低税负支出。如埃塞职工薪酬应纳税额大于</w:t>
      </w:r>
      <w:r>
        <w:rPr>
          <w:sz w:val="28"/>
          <w:szCs w:val="28"/>
        </w:rPr>
        <w:t>13300</w:t>
      </w:r>
      <w:r>
        <w:rPr>
          <w:sz w:val="28"/>
          <w:szCs w:val="28"/>
        </w:rPr>
        <w:t>比尔的时候，个人所得税税率将超过企业所得税税率</w:t>
      </w:r>
      <w:r>
        <w:rPr>
          <w:sz w:val="28"/>
          <w:szCs w:val="28"/>
        </w:rPr>
        <w:t>30%,</w:t>
      </w:r>
      <w:r>
        <w:rPr>
          <w:sz w:val="28"/>
          <w:szCs w:val="28"/>
        </w:rPr>
        <w:t>而乌干达的个人所得税最高税率是</w:t>
      </w:r>
      <w:r>
        <w:rPr>
          <w:sz w:val="28"/>
          <w:szCs w:val="28"/>
        </w:rPr>
        <w:t>30%</w:t>
      </w:r>
      <w:r>
        <w:rPr>
          <w:sz w:val="28"/>
          <w:szCs w:val="28"/>
        </w:rPr>
        <w:t>，与企业所得税一致。</w:t>
      </w:r>
    </w:p>
    <w:p w:rsidR="0006193F" w:rsidRDefault="00996760">
      <w:pPr>
        <w:ind w:firstLine="562"/>
        <w:rPr>
          <w:b/>
          <w:sz w:val="28"/>
          <w:szCs w:val="28"/>
        </w:rPr>
      </w:pPr>
      <w:r>
        <w:rPr>
          <w:b/>
          <w:sz w:val="28"/>
          <w:szCs w:val="28"/>
        </w:rPr>
        <w:t>二、材料成本规划</w:t>
      </w:r>
    </w:p>
    <w:p w:rsidR="0006193F" w:rsidRDefault="00996760">
      <w:pPr>
        <w:ind w:firstLine="420"/>
        <w:rPr>
          <w:sz w:val="28"/>
          <w:szCs w:val="28"/>
        </w:rPr>
      </w:pPr>
      <w:r>
        <w:rPr>
          <w:sz w:val="28"/>
          <w:szCs w:val="28"/>
        </w:rPr>
        <w:t>（一）严格发票收据报销制度，结合所在国税务政策要求保证材料成本的充分记账，做好材料内部单据的管理工作。海外工程项目应着眼于长期发展，优先选择与正规的材料提供商进行合作，保证可以提供合规的发票收据。对于施工环境不允许，难以取得正规票据的情况，应积极咨询税务代理</w:t>
      </w:r>
      <w:r>
        <w:rPr>
          <w:sz w:val="28"/>
          <w:szCs w:val="28"/>
        </w:rPr>
        <w:t>或者权威机构，如埃塞政府允许企业经税务机构认可后印刷付款凭据，用于特殊情况下难以收到合规票据的费用支出。</w:t>
      </w:r>
    </w:p>
    <w:p w:rsidR="0006193F" w:rsidRDefault="00996760">
      <w:pPr>
        <w:rPr>
          <w:sz w:val="28"/>
          <w:szCs w:val="28"/>
        </w:rPr>
      </w:pPr>
      <w:r>
        <w:rPr>
          <w:sz w:val="28"/>
          <w:szCs w:val="28"/>
        </w:rPr>
        <w:t>（二）建立建全适合所在国要求的收发料制度，在中文的收发料基础上结合英文表述。材料管理一般遵循永续盘存制，考虑所在国税务的要求，在编制收发料过程和盘点中应配合使用英文表述，取得税务机构的认可，方便税务检查。</w:t>
      </w:r>
    </w:p>
    <w:p w:rsidR="0006193F" w:rsidRDefault="00996760">
      <w:pPr>
        <w:rPr>
          <w:sz w:val="28"/>
          <w:szCs w:val="28"/>
        </w:rPr>
      </w:pPr>
      <w:r>
        <w:rPr>
          <w:sz w:val="28"/>
          <w:szCs w:val="28"/>
        </w:rPr>
        <w:t>（三）在物资进口环节进行海关税费率和企业所得税率的对比，在企业海关税费率低于所得税率的情况下，进行内部转移价格的上调，反之则上调。由于海关部门一般以进口方提供的形式发票进行价格核实，进口方一般由国内办</w:t>
      </w:r>
      <w:r>
        <w:rPr>
          <w:sz w:val="28"/>
          <w:szCs w:val="28"/>
        </w:rPr>
        <w:t>事处或者总公司进行代理采购后转给海外工程项目，形式发票的价格一般为公司内部转移价格。以埃塞物资进口为例，需要交纳的海关税费一般包括关税、增值税、附加税、代扣税，而增值税和代扣税都可以进行税务抵扣，不会造成成本费用的增加，实际发生的海关税费成本是关税和附加税，附加税率一般为</w:t>
      </w:r>
      <w:r>
        <w:rPr>
          <w:sz w:val="28"/>
          <w:szCs w:val="28"/>
        </w:rPr>
        <w:t>10%</w:t>
      </w:r>
      <w:r>
        <w:rPr>
          <w:sz w:val="28"/>
          <w:szCs w:val="28"/>
        </w:rPr>
        <w:t>，关税税率根据进口物资品种的不同而有所差别。以进口沥青为例，沥青的海关税费成本总计为</w:t>
      </w:r>
      <w:r>
        <w:rPr>
          <w:sz w:val="28"/>
          <w:szCs w:val="28"/>
        </w:rPr>
        <w:t>5%</w:t>
      </w:r>
      <w:r>
        <w:rPr>
          <w:sz w:val="28"/>
          <w:szCs w:val="28"/>
        </w:rPr>
        <w:t>，企业所得税率为</w:t>
      </w:r>
      <w:r>
        <w:rPr>
          <w:sz w:val="28"/>
          <w:szCs w:val="28"/>
        </w:rPr>
        <w:t>30%</w:t>
      </w:r>
      <w:r>
        <w:rPr>
          <w:sz w:val="28"/>
          <w:szCs w:val="28"/>
        </w:rPr>
        <w:t>，如果调增进口价格</w:t>
      </w:r>
      <w:r>
        <w:rPr>
          <w:sz w:val="28"/>
          <w:szCs w:val="28"/>
        </w:rPr>
        <w:t>100</w:t>
      </w:r>
      <w:r>
        <w:rPr>
          <w:sz w:val="28"/>
          <w:szCs w:val="28"/>
        </w:rPr>
        <w:t>万美元，需要支付海关税费</w:t>
      </w:r>
      <w:r>
        <w:rPr>
          <w:sz w:val="28"/>
          <w:szCs w:val="28"/>
        </w:rPr>
        <w:t>5</w:t>
      </w:r>
      <w:r>
        <w:rPr>
          <w:sz w:val="28"/>
          <w:szCs w:val="28"/>
        </w:rPr>
        <w:t>万美元，而同时可以减少企业所得税支付</w:t>
      </w:r>
      <w:r>
        <w:rPr>
          <w:sz w:val="28"/>
          <w:szCs w:val="28"/>
        </w:rPr>
        <w:t>30</w:t>
      </w:r>
      <w:r>
        <w:rPr>
          <w:sz w:val="28"/>
          <w:szCs w:val="28"/>
        </w:rPr>
        <w:t>万美元，企业节省现金流</w:t>
      </w:r>
      <w:r>
        <w:rPr>
          <w:sz w:val="28"/>
          <w:szCs w:val="28"/>
        </w:rPr>
        <w:t>25</w:t>
      </w:r>
      <w:r>
        <w:rPr>
          <w:sz w:val="28"/>
          <w:szCs w:val="28"/>
        </w:rPr>
        <w:t>万美元，</w:t>
      </w:r>
      <w:r>
        <w:rPr>
          <w:sz w:val="28"/>
          <w:szCs w:val="28"/>
        </w:rPr>
        <w:t>考虑海关税费的成本可以抵减税前纳税额，减少缴纳企业所得税</w:t>
      </w:r>
      <w:r>
        <w:rPr>
          <w:sz w:val="28"/>
          <w:szCs w:val="28"/>
        </w:rPr>
        <w:t>1.5</w:t>
      </w:r>
      <w:r>
        <w:rPr>
          <w:sz w:val="28"/>
          <w:szCs w:val="28"/>
        </w:rPr>
        <w:t>万美元，企业实际的利润受益应大于</w:t>
      </w:r>
      <w:r>
        <w:rPr>
          <w:sz w:val="28"/>
          <w:szCs w:val="28"/>
        </w:rPr>
        <w:t>25</w:t>
      </w:r>
      <w:r>
        <w:rPr>
          <w:sz w:val="28"/>
          <w:szCs w:val="28"/>
        </w:rPr>
        <w:t>万美元。除沥青外，电子产</w:t>
      </w:r>
      <w:r>
        <w:rPr>
          <w:sz w:val="28"/>
          <w:szCs w:val="28"/>
        </w:rPr>
        <w:lastRenderedPageBreak/>
        <w:t>品、轮胎、机械等也是国家鼓励进口的物资，海关税费比率低于企业所得税率，可以适当提高进口价格。海关监察机构会对进口方提供的商业发票的价格进行核实，大幅度的价格调整是不被认可的。相反，如果海关税费高于企业所得税，应调低进口物资价格，以减少税费支出。</w:t>
      </w:r>
    </w:p>
    <w:p w:rsidR="0006193F" w:rsidRDefault="00996760">
      <w:pPr>
        <w:ind w:firstLine="562"/>
        <w:rPr>
          <w:b/>
          <w:sz w:val="28"/>
          <w:szCs w:val="28"/>
        </w:rPr>
      </w:pPr>
      <w:r>
        <w:rPr>
          <w:b/>
          <w:sz w:val="28"/>
          <w:szCs w:val="28"/>
        </w:rPr>
        <w:t>三、机械成本规划</w:t>
      </w:r>
    </w:p>
    <w:p w:rsidR="0006193F" w:rsidRDefault="00996760">
      <w:pPr>
        <w:ind w:firstLine="560"/>
        <w:rPr>
          <w:sz w:val="28"/>
          <w:szCs w:val="28"/>
        </w:rPr>
      </w:pPr>
      <w:r>
        <w:rPr>
          <w:sz w:val="28"/>
          <w:szCs w:val="28"/>
        </w:rPr>
        <w:t>（一）了解项目投资的优惠政策，对于机械设备优先考虑免税进口或者临时进口方式。一般情况下，国家在制订宏观调控政策的时候，会设置外</w:t>
      </w:r>
      <w:r>
        <w:rPr>
          <w:sz w:val="28"/>
          <w:szCs w:val="28"/>
        </w:rPr>
        <w:t>资投资的门槛标准，保护本国经济的平稳发展，也会为吸引外资而出台外资投资优惠政策，如机械设备投资一般适用的进口关税税率较低，甚至在投资局批准的情况下可以进行免税进口，在业主对口政府机构的认可下可以进行临时进口，节省现金流支出，降低项目成本。免税进口在投资局批准，海关认可的前提下进行操作，可以免除关税和其他进口税费，如增值税、附加税、代扣税等。临时进口则需要明确机械设备用途，出具保函担保，发生一定的保函费用，在指定用途期限届满或者项目竣工时，保函没有续展理由，需要计算缴纳海关税费，或者办理出口手续。</w:t>
      </w:r>
    </w:p>
    <w:p w:rsidR="0006193F" w:rsidRDefault="00996760">
      <w:pPr>
        <w:ind w:firstLine="560"/>
        <w:rPr>
          <w:sz w:val="28"/>
          <w:szCs w:val="28"/>
        </w:rPr>
      </w:pPr>
      <w:r>
        <w:rPr>
          <w:sz w:val="28"/>
          <w:szCs w:val="28"/>
        </w:rPr>
        <w:t>（二）遵守</w:t>
      </w:r>
      <w:r>
        <w:rPr>
          <w:sz w:val="28"/>
          <w:szCs w:val="28"/>
        </w:rPr>
        <w:t>税务要求的机械设备折旧政策，避免外账和税务折旧差异而产生的折旧成本调整。海外工程项目的外账操作主要服务于税务目的，为方便核算，应保证外账折旧计提和税务要求的一致性。</w:t>
      </w:r>
    </w:p>
    <w:p w:rsidR="0006193F" w:rsidRDefault="00996760">
      <w:pPr>
        <w:ind w:firstLine="560"/>
        <w:rPr>
          <w:sz w:val="28"/>
          <w:szCs w:val="28"/>
        </w:rPr>
      </w:pPr>
      <w:r>
        <w:rPr>
          <w:sz w:val="28"/>
          <w:szCs w:val="28"/>
        </w:rPr>
        <w:t>（三）严格机械设备报废处理手续，在实物存在毁损或变卖的情况下，依据充分的证据资料进行外账的销账处理。一般情况机械设备存在更换主要零部件、事故报废或者变卖处置等事项，使得机械设备提前损耗完毕，外账操作上也应该作相应的成本消耗处理，这要求做好证据资料的收集工作，特别是保险公司、公安部门等机构出具的权威资料。</w:t>
      </w:r>
    </w:p>
    <w:p w:rsidR="0006193F" w:rsidRDefault="00996760">
      <w:pPr>
        <w:ind w:firstLine="567"/>
        <w:rPr>
          <w:b/>
          <w:sz w:val="28"/>
          <w:szCs w:val="28"/>
        </w:rPr>
      </w:pPr>
      <w:r>
        <w:rPr>
          <w:b/>
          <w:sz w:val="28"/>
          <w:szCs w:val="28"/>
        </w:rPr>
        <w:t>四、资金支出规划</w:t>
      </w:r>
    </w:p>
    <w:p w:rsidR="0006193F" w:rsidRDefault="00996760">
      <w:pPr>
        <w:rPr>
          <w:sz w:val="28"/>
          <w:szCs w:val="28"/>
        </w:rPr>
      </w:pPr>
      <w:r>
        <w:rPr>
          <w:sz w:val="28"/>
          <w:szCs w:val="28"/>
        </w:rPr>
        <w:t>（一</w:t>
      </w:r>
      <w:r>
        <w:rPr>
          <w:sz w:val="28"/>
          <w:szCs w:val="28"/>
        </w:rPr>
        <w:t>）对于跨国交易的业务优先考虑所在国付款，收取有效的发票收据，避免成本不被认可的情况发生。如国际保函业务，一般情况下由国内银行开出，所在国银行转开，所在国银行的收费应尽量避免国内代付，这样容易导致所在国银行不能合理提供相关票据，成本流失；对于国内银行的收费也应收集充分的证据材料，争取税务认可计入成本。</w:t>
      </w:r>
    </w:p>
    <w:p w:rsidR="0006193F" w:rsidRDefault="00996760">
      <w:pPr>
        <w:rPr>
          <w:sz w:val="28"/>
          <w:szCs w:val="28"/>
        </w:rPr>
      </w:pPr>
      <w:r>
        <w:rPr>
          <w:sz w:val="28"/>
          <w:szCs w:val="28"/>
        </w:rPr>
        <w:t>（二）对于援助捐赠事项应保留基础书面资料，对于受益方为政府事业单位的或者带有公益性质的，应明确是否免税，是否有相应的免税凭据，以避免税务审查中出现纰漏。如施工项目资助营地附近的学校购置教育器材等捐赠事项。</w:t>
      </w:r>
    </w:p>
    <w:p w:rsidR="0006193F" w:rsidRDefault="00996760">
      <w:pPr>
        <w:ind w:firstLine="567"/>
        <w:rPr>
          <w:b/>
          <w:sz w:val="28"/>
          <w:szCs w:val="28"/>
        </w:rPr>
      </w:pPr>
      <w:r>
        <w:rPr>
          <w:b/>
          <w:sz w:val="28"/>
          <w:szCs w:val="28"/>
        </w:rPr>
        <w:lastRenderedPageBreak/>
        <w:t>五、</w:t>
      </w:r>
      <w:r>
        <w:rPr>
          <w:b/>
          <w:sz w:val="28"/>
          <w:szCs w:val="28"/>
        </w:rPr>
        <w:t>财会业务规划</w:t>
      </w:r>
    </w:p>
    <w:p w:rsidR="0006193F" w:rsidRDefault="00996760">
      <w:pPr>
        <w:rPr>
          <w:sz w:val="28"/>
          <w:szCs w:val="28"/>
        </w:rPr>
      </w:pPr>
      <w:r>
        <w:rPr>
          <w:sz w:val="28"/>
          <w:szCs w:val="28"/>
        </w:rPr>
        <w:t>（一）建立增值税申报台账，保证及时合理的申报纳税，为抵税退税业务做好前提工作。由于工程项目一般较为分散，为保证按时进行增值税申报，应设置专人负责并建立台账，确保信息沟通及时，防止纳税申报遗漏。</w:t>
      </w:r>
    </w:p>
    <w:p w:rsidR="0006193F" w:rsidRDefault="00996760">
      <w:pPr>
        <w:rPr>
          <w:sz w:val="28"/>
          <w:szCs w:val="28"/>
        </w:rPr>
      </w:pPr>
      <w:r>
        <w:rPr>
          <w:sz w:val="28"/>
          <w:szCs w:val="28"/>
        </w:rPr>
        <w:t>（二）明确固定资产的分类依据，由于固定资产划分标准有时候存在模糊混同的情况，而不同的固定资产适用的税率不等，固定资产的分类会直接影响到折旧成本的差异。如施工用板房，计入房屋建筑类一般的年折旧率为</w:t>
      </w:r>
      <w:r>
        <w:rPr>
          <w:sz w:val="28"/>
          <w:szCs w:val="28"/>
        </w:rPr>
        <w:t>5%</w:t>
      </w:r>
      <w:r>
        <w:rPr>
          <w:sz w:val="28"/>
          <w:szCs w:val="28"/>
        </w:rPr>
        <w:t>，而计入其他固定资产的话折旧率必然要高于</w:t>
      </w:r>
      <w:r>
        <w:rPr>
          <w:sz w:val="28"/>
          <w:szCs w:val="28"/>
        </w:rPr>
        <w:t>5%.</w:t>
      </w:r>
    </w:p>
    <w:p w:rsidR="0006193F" w:rsidRDefault="00996760">
      <w:pPr>
        <w:rPr>
          <w:sz w:val="28"/>
          <w:szCs w:val="28"/>
        </w:rPr>
      </w:pPr>
      <w:r>
        <w:rPr>
          <w:sz w:val="28"/>
          <w:szCs w:val="28"/>
        </w:rPr>
        <w:t>（三</w:t>
      </w:r>
      <w:r>
        <w:rPr>
          <w:sz w:val="28"/>
          <w:szCs w:val="28"/>
        </w:rPr>
        <w:t>）对于支付免税企业的款项应同时索取免税证明，税务审查一般会对免税票据进行重点审查。法律规定免税的项目可以依据相关条例解释说明，而针对个别企业的增值税、代扣税等免税业务应依据相关免税批文或者证明进行核实确认，以避免因为不合理的免税票据而引发的税务处罚。</w:t>
      </w:r>
    </w:p>
    <w:p w:rsidR="0006193F" w:rsidRDefault="00996760">
      <w:pPr>
        <w:rPr>
          <w:sz w:val="28"/>
          <w:szCs w:val="28"/>
        </w:rPr>
      </w:pPr>
      <w:r>
        <w:rPr>
          <w:sz w:val="28"/>
          <w:szCs w:val="28"/>
        </w:rPr>
        <w:t>（四）应用所得税抵免政策进行税务规划。截至</w:t>
      </w:r>
      <w:r>
        <w:rPr>
          <w:sz w:val="28"/>
          <w:szCs w:val="28"/>
        </w:rPr>
        <w:t>2015</w:t>
      </w:r>
      <w:r>
        <w:rPr>
          <w:sz w:val="28"/>
          <w:szCs w:val="28"/>
        </w:rPr>
        <w:t>年</w:t>
      </w:r>
      <w:r>
        <w:rPr>
          <w:sz w:val="28"/>
          <w:szCs w:val="28"/>
        </w:rPr>
        <w:t>12</w:t>
      </w:r>
      <w:r>
        <w:rPr>
          <w:sz w:val="28"/>
          <w:szCs w:val="28"/>
        </w:rPr>
        <w:t>月我国已经对外正式签署</w:t>
      </w:r>
      <w:r>
        <w:rPr>
          <w:sz w:val="28"/>
          <w:szCs w:val="28"/>
        </w:rPr>
        <w:t>101</w:t>
      </w:r>
      <w:r>
        <w:rPr>
          <w:sz w:val="28"/>
          <w:szCs w:val="28"/>
        </w:rPr>
        <w:t>个避免双重征税协定，其中</w:t>
      </w:r>
      <w:r>
        <w:rPr>
          <w:sz w:val="28"/>
          <w:szCs w:val="28"/>
        </w:rPr>
        <w:t>97</w:t>
      </w:r>
      <w:r>
        <w:rPr>
          <w:sz w:val="28"/>
          <w:szCs w:val="28"/>
        </w:rPr>
        <w:t>个已经生效。境外企业所得税的抵免工作要求日常工作中做好企业所得税代扣代缴单据收集备份，在年末及时联系审计事务所出具年度审计报告，保证企业所得税抵免工</w:t>
      </w:r>
      <w:r>
        <w:rPr>
          <w:sz w:val="28"/>
          <w:szCs w:val="28"/>
        </w:rPr>
        <w:t>作能够按期完成。</w:t>
      </w:r>
    </w:p>
    <w:p w:rsidR="0006193F" w:rsidRDefault="00996760">
      <w:pPr>
        <w:rPr>
          <w:sz w:val="28"/>
          <w:szCs w:val="28"/>
        </w:rPr>
      </w:pPr>
      <w:r>
        <w:rPr>
          <w:sz w:val="28"/>
          <w:szCs w:val="28"/>
        </w:rPr>
        <w:t>（五）汇兑损益通过汇率变动数据进行对比记账，工程项目应合理选择汇率计算汇兑损益。海外工程项目的汇兑损益主要是由合同约定的固定汇率和实际汇率差额引起的，当所在国对实际汇率的外汇收款日确定标准不确定的情况下，汇兑损益的确认也存在不确定性。外汇收款日的确定标准可以是验工结算日、发包方汇款日、承包方收款日等，官方汇率是每天更新的，工程项目应结合所在国金融环境选择合适合理的外汇收款日，确定后不能随意更改。</w:t>
      </w:r>
    </w:p>
    <w:p w:rsidR="0006193F" w:rsidRDefault="00996760">
      <w:pPr>
        <w:rPr>
          <w:sz w:val="28"/>
          <w:szCs w:val="28"/>
        </w:rPr>
      </w:pPr>
      <w:r>
        <w:rPr>
          <w:sz w:val="28"/>
          <w:szCs w:val="28"/>
        </w:rPr>
        <w:t>（六）对于分包合同的签订务必考虑税务的影响，避免因税务问题产生的纠纷，作为甲方应明确对方的税务</w:t>
      </w:r>
      <w:r>
        <w:rPr>
          <w:sz w:val="28"/>
          <w:szCs w:val="28"/>
        </w:rPr>
        <w:t>责任，要求对方合理纳税，在甲方代理进行外账核算的前提下，应单独建立税务台账，做好代扣代缴工作，特别是企业所得税的计算缴纳，应及时通知对方并合理扣缴；作为乙方应量避免税务核算的被动局面，条件允许的情况进行自主核算申报。</w:t>
      </w:r>
    </w:p>
    <w:p w:rsidR="0006193F" w:rsidRDefault="00996760">
      <w:pPr>
        <w:pStyle w:val="a4"/>
        <w:spacing w:before="0" w:beforeAutospacing="0" w:after="0" w:afterAutospacing="0" w:line="390" w:lineRule="atLeast"/>
        <w:ind w:firstLine="568"/>
        <w:rPr>
          <w:rFonts w:ascii="Calibri" w:eastAsia="Calibri" w:hAnsi="Calibri"/>
          <w:b/>
          <w:color w:val="333333"/>
          <w:sz w:val="28"/>
          <w:szCs w:val="28"/>
        </w:rPr>
      </w:pPr>
      <w:r>
        <w:rPr>
          <w:rFonts w:ascii="Calibri" w:eastAsia="Calibri" w:hAnsi="Calibri" w:hint="eastAsia"/>
          <w:b/>
          <w:color w:val="333333"/>
          <w:sz w:val="28"/>
          <w:szCs w:val="28"/>
        </w:rPr>
        <w:t>六、组织模式规划</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（一）配备专业管理人员，完善税务内部管理机制。以财务机构为中心，设置专人专岗负责外账和税务，加强内外账的对比，及时了解海外税务政策法规的变更。税务问题涉及施工经营的众多方</w:t>
      </w:r>
      <w:r>
        <w:rPr>
          <w:rFonts w:ascii="Calibri" w:eastAsia="Calibri" w:hAnsi="Calibri" w:hint="eastAsia"/>
          <w:color w:val="333333"/>
          <w:sz w:val="28"/>
          <w:szCs w:val="28"/>
        </w:rPr>
        <w:lastRenderedPageBreak/>
        <w:t>面，需要各部门协调配合，合理安排各项活动，制定有效的税务内部管理制度，共同优化税务管理。</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（二）发展当地财</w:t>
      </w:r>
      <w:r>
        <w:rPr>
          <w:rFonts w:ascii="Calibri" w:eastAsia="Calibri" w:hAnsi="Calibri" w:hint="eastAsia"/>
          <w:color w:val="333333"/>
          <w:sz w:val="28"/>
          <w:szCs w:val="28"/>
        </w:rPr>
        <w:t>务职员，逐步推广属地化管理。聘用和利用当地素质较高的财务职员，一方面可以与咨询中介、税务机构、业主单位等进行更为充分的沟通，降低公司职工薪酬费用的开支；另一方面也给中方管理人员提出更高要求，需要熟悉当地的文化风俗习惯，掌握全面的财务税务知识，能够理解当地职工的工作习惯和方式，发现问题并改进工作。</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三）利用税务代理和中介，加强税务机构的沟通联系，不断提升管理水平。日趋完善成熟的税务代理和中介在税务理论和实践中都有丰富的知识经验，通过其提供的代理中介服务，可以不断提升企业的管理水平。税务机构是税务征收管理的权</w:t>
      </w:r>
      <w:r>
        <w:rPr>
          <w:rFonts w:ascii="Calibri" w:eastAsia="Calibri" w:hAnsi="Calibri" w:hint="eastAsia"/>
          <w:color w:val="333333"/>
          <w:sz w:val="28"/>
          <w:szCs w:val="28"/>
        </w:rPr>
        <w:t>威单位，负责税务规定的更新和执行，对于实践中的疑难问题有解释权，在其帮助和指导下，可以更加有效的开展相关工作。</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四）加强税务知识的学习，遵守制度规定，运用优惠政策。按照税法的制度规定办事，避免偷税逃税等行为引起的罚款罚息，防止因为税务问题影响企业信誉。学习并运用税收优惠政策，合理避税，有效降低企业成本，以实现企业利润的最大化。</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（五）结合施工经营的实际情况，提前进行税务规划。税务规划应在经营计划或者业务安排的时候予以考虑，各相关部门在事务执行时应加强税务规划的意识，税务人员予以全面统筹和组织协调，防止事后</w:t>
      </w:r>
      <w:r>
        <w:rPr>
          <w:rFonts w:ascii="Calibri" w:eastAsia="Calibri" w:hAnsi="Calibri" w:hint="eastAsia"/>
          <w:color w:val="333333"/>
          <w:sz w:val="28"/>
          <w:szCs w:val="28"/>
        </w:rPr>
        <w:t>救济，造成偷税漏税等事件的发生，形成负面影响。</w:t>
      </w:r>
    </w:p>
    <w:p w:rsidR="0006193F" w:rsidRDefault="00996760">
      <w:pPr>
        <w:pStyle w:val="a4"/>
        <w:spacing w:before="0" w:beforeAutospacing="0" w:after="0" w:afterAutospacing="0" w:line="390" w:lineRule="atLeast"/>
        <w:ind w:firstLine="562"/>
        <w:rPr>
          <w:rFonts w:ascii="Calibri" w:eastAsia="Calibri" w:hAnsi="Calibri"/>
          <w:b/>
          <w:color w:val="333333"/>
          <w:sz w:val="28"/>
          <w:szCs w:val="28"/>
        </w:rPr>
      </w:pPr>
      <w:r>
        <w:rPr>
          <w:rFonts w:ascii="Calibri" w:eastAsia="Calibri" w:hAnsi="Calibri" w:hint="eastAsia"/>
          <w:b/>
          <w:color w:val="333333"/>
          <w:sz w:val="28"/>
          <w:szCs w:val="28"/>
        </w:rPr>
        <w:t>七、结束语</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在一带一路国家战略的感召下，为了实现中国梦，走向世界，越来越多的企业将战略眼光放在海外市场。企业在走出去的同时，国际竞争力和影响力不断提升，而海外工程项目的税务问题也给企业提出了挑战和要求，完善海外税务管理和规划有助于海外工程项目安全健康地发展。海外工程项目应该在开拓市场过程中，熟悉国际投资环境，适应海外税务政策，规避国际税务风险，利用有效的税务管理和规划为企业发展保驾护航，提高企业盈利水平，提升国际竞争力。</w:t>
      </w:r>
    </w:p>
    <w:p w:rsidR="0006193F" w:rsidRDefault="00996760">
      <w:pPr>
        <w:pStyle w:val="a4"/>
        <w:spacing w:before="0" w:beforeAutospacing="0" w:after="0" w:afterAutospacing="0" w:line="390" w:lineRule="atLeast"/>
        <w:ind w:firstLine="562"/>
        <w:rPr>
          <w:rFonts w:ascii="Calibri" w:eastAsia="Calibri" w:hAnsi="Calibri"/>
          <w:b/>
          <w:color w:val="333333"/>
          <w:sz w:val="28"/>
          <w:szCs w:val="28"/>
        </w:rPr>
      </w:pPr>
      <w:r>
        <w:rPr>
          <w:rFonts w:ascii="Calibri" w:eastAsia="Calibri" w:hAnsi="Calibri" w:hint="eastAsia"/>
          <w:b/>
          <w:color w:val="333333"/>
          <w:sz w:val="28"/>
          <w:szCs w:val="28"/>
        </w:rPr>
        <w:t>参考文献</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 xml:space="preserve">[1] </w:t>
      </w:r>
      <w:r>
        <w:rPr>
          <w:rFonts w:ascii="Calibri" w:eastAsia="Calibri" w:hAnsi="Calibri" w:hint="eastAsia"/>
          <w:color w:val="333333"/>
          <w:sz w:val="28"/>
          <w:szCs w:val="28"/>
        </w:rPr>
        <w:t>黄安武</w:t>
      </w:r>
      <w:r>
        <w:rPr>
          <w:rFonts w:ascii="Calibri" w:eastAsia="Calibri" w:hAnsi="Calibri" w:hint="eastAsia"/>
          <w:color w:val="333333"/>
          <w:sz w:val="28"/>
          <w:szCs w:val="28"/>
        </w:rPr>
        <w:t xml:space="preserve"> </w:t>
      </w:r>
      <w:r>
        <w:rPr>
          <w:rFonts w:ascii="Calibri" w:eastAsia="Calibri" w:hAnsi="Calibri" w:hint="eastAsia"/>
          <w:color w:val="333333"/>
          <w:sz w:val="28"/>
          <w:szCs w:val="28"/>
        </w:rPr>
        <w:t>周相林</w:t>
      </w:r>
      <w:r>
        <w:rPr>
          <w:rFonts w:ascii="Calibri" w:eastAsia="Calibri" w:hAnsi="Calibri" w:hint="eastAsia"/>
          <w:color w:val="333333"/>
          <w:sz w:val="28"/>
          <w:szCs w:val="28"/>
        </w:rPr>
        <w:t xml:space="preserve"> </w:t>
      </w:r>
      <w:r>
        <w:rPr>
          <w:rFonts w:ascii="Calibri" w:eastAsia="Calibri" w:hAnsi="Calibri" w:hint="eastAsia"/>
          <w:color w:val="333333"/>
          <w:sz w:val="28"/>
          <w:szCs w:val="28"/>
        </w:rPr>
        <w:t>有效</w:t>
      </w:r>
      <w:r>
        <w:rPr>
          <w:rFonts w:ascii="Calibri" w:eastAsia="Calibri" w:hAnsi="Calibri" w:hint="eastAsia"/>
          <w:color w:val="333333"/>
          <w:sz w:val="28"/>
          <w:szCs w:val="28"/>
        </w:rPr>
        <w:t>化解税务风险为海外经营保驾护航</w:t>
      </w:r>
      <w:r>
        <w:rPr>
          <w:rFonts w:ascii="Calibri" w:eastAsia="Calibri" w:hAnsi="Calibri" w:hint="eastAsia"/>
          <w:color w:val="333333"/>
          <w:sz w:val="28"/>
          <w:szCs w:val="28"/>
        </w:rPr>
        <w:t xml:space="preserve">[J] </w:t>
      </w:r>
      <w:r>
        <w:rPr>
          <w:rFonts w:ascii="Calibri" w:eastAsia="Calibri" w:hAnsi="Calibri" w:hint="eastAsia"/>
          <w:color w:val="333333"/>
          <w:sz w:val="28"/>
          <w:szCs w:val="28"/>
        </w:rPr>
        <w:t>现代商贸工业</w:t>
      </w:r>
      <w:r>
        <w:rPr>
          <w:rFonts w:ascii="Calibri" w:eastAsia="Calibri" w:hAnsi="Calibri" w:hint="eastAsia"/>
          <w:color w:val="333333"/>
          <w:sz w:val="28"/>
          <w:szCs w:val="28"/>
        </w:rPr>
        <w:t>,2014(23)</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lastRenderedPageBreak/>
        <w:t xml:space="preserve">[2] </w:t>
      </w:r>
      <w:r>
        <w:rPr>
          <w:rFonts w:ascii="Calibri" w:eastAsia="Calibri" w:hAnsi="Calibri" w:hint="eastAsia"/>
          <w:color w:val="333333"/>
          <w:sz w:val="28"/>
          <w:szCs w:val="28"/>
        </w:rPr>
        <w:t>李旭红</w:t>
      </w:r>
      <w:r>
        <w:rPr>
          <w:rFonts w:ascii="Calibri" w:eastAsia="Calibri" w:hAnsi="Calibri" w:hint="eastAsia"/>
          <w:color w:val="333333"/>
          <w:sz w:val="28"/>
          <w:szCs w:val="28"/>
        </w:rPr>
        <w:t xml:space="preserve"> </w:t>
      </w:r>
      <w:r>
        <w:rPr>
          <w:rFonts w:ascii="Calibri" w:eastAsia="Calibri" w:hAnsi="Calibri" w:hint="eastAsia"/>
          <w:color w:val="333333"/>
          <w:sz w:val="28"/>
          <w:szCs w:val="28"/>
        </w:rPr>
        <w:t>王瑛琦</w:t>
      </w:r>
      <w:r>
        <w:rPr>
          <w:rFonts w:ascii="Calibri" w:eastAsia="Calibri" w:hAnsi="Calibri" w:hint="eastAsia"/>
          <w:color w:val="333333"/>
          <w:sz w:val="28"/>
          <w:szCs w:val="28"/>
        </w:rPr>
        <w:t xml:space="preserve"> </w:t>
      </w:r>
      <w:r>
        <w:rPr>
          <w:rFonts w:ascii="Calibri" w:eastAsia="Calibri" w:hAnsi="Calibri" w:hint="eastAsia"/>
          <w:color w:val="333333"/>
          <w:sz w:val="28"/>
          <w:szCs w:val="28"/>
        </w:rPr>
        <w:t>“走出去”国有企业面临的税务风险及应对</w:t>
      </w:r>
      <w:r>
        <w:rPr>
          <w:rFonts w:ascii="Calibri" w:eastAsia="Calibri" w:hAnsi="Calibri" w:hint="eastAsia"/>
          <w:color w:val="333333"/>
          <w:sz w:val="28"/>
          <w:szCs w:val="28"/>
        </w:rPr>
        <w:t xml:space="preserve">[J] </w:t>
      </w:r>
      <w:r>
        <w:rPr>
          <w:rFonts w:ascii="Calibri" w:eastAsia="Calibri" w:hAnsi="Calibri" w:hint="eastAsia"/>
          <w:color w:val="333333"/>
          <w:sz w:val="28"/>
          <w:szCs w:val="28"/>
        </w:rPr>
        <w:t>国际税收</w:t>
      </w:r>
      <w:r>
        <w:rPr>
          <w:rFonts w:ascii="Calibri" w:eastAsia="Calibri" w:hAnsi="Calibri" w:hint="eastAsia"/>
          <w:color w:val="333333"/>
          <w:sz w:val="28"/>
          <w:szCs w:val="28"/>
        </w:rPr>
        <w:t>,2013(02)</w:t>
      </w:r>
    </w:p>
    <w:p w:rsidR="0006193F" w:rsidRDefault="00996760">
      <w:pPr>
        <w:pStyle w:val="a4"/>
        <w:spacing w:before="0" w:beforeAutospacing="0" w:after="0" w:afterAutospacing="0" w:line="390" w:lineRule="atLeast"/>
        <w:ind w:firstLine="560"/>
        <w:rPr>
          <w:rFonts w:ascii="Calibri" w:eastAsia="Calibri" w:hAnsi="Calibri"/>
          <w:color w:val="333333"/>
          <w:sz w:val="28"/>
          <w:szCs w:val="28"/>
        </w:rPr>
      </w:pPr>
      <w:r>
        <w:rPr>
          <w:rFonts w:ascii="Calibri" w:eastAsia="Calibri" w:hAnsi="Calibri" w:hint="eastAsia"/>
          <w:color w:val="333333"/>
          <w:sz w:val="28"/>
          <w:szCs w:val="28"/>
        </w:rPr>
        <w:t xml:space="preserve">[3] </w:t>
      </w:r>
      <w:r>
        <w:rPr>
          <w:rFonts w:ascii="Calibri" w:eastAsia="Calibri" w:hAnsi="Calibri" w:hint="eastAsia"/>
          <w:color w:val="333333"/>
          <w:sz w:val="28"/>
          <w:szCs w:val="28"/>
        </w:rPr>
        <w:t>漆彤</w:t>
      </w:r>
      <w:r>
        <w:rPr>
          <w:rFonts w:ascii="Calibri" w:eastAsia="Calibri" w:hAnsi="Calibri" w:hint="eastAsia"/>
          <w:color w:val="333333"/>
          <w:sz w:val="28"/>
          <w:szCs w:val="28"/>
        </w:rPr>
        <w:t xml:space="preserve"> </w:t>
      </w:r>
      <w:r>
        <w:rPr>
          <w:rFonts w:ascii="Calibri" w:eastAsia="Calibri" w:hAnsi="Calibri" w:hint="eastAsia"/>
          <w:color w:val="333333"/>
          <w:sz w:val="28"/>
          <w:szCs w:val="28"/>
        </w:rPr>
        <w:t>“一带一路”战略的国际税法思考</w:t>
      </w:r>
      <w:r>
        <w:rPr>
          <w:rFonts w:ascii="Calibri" w:eastAsia="Calibri" w:hAnsi="Calibri" w:hint="eastAsia"/>
          <w:color w:val="333333"/>
          <w:sz w:val="28"/>
          <w:szCs w:val="28"/>
        </w:rPr>
        <w:t xml:space="preserve">[J] </w:t>
      </w:r>
      <w:r>
        <w:rPr>
          <w:rFonts w:ascii="Calibri" w:eastAsia="Calibri" w:hAnsi="Calibri" w:hint="eastAsia"/>
          <w:color w:val="333333"/>
          <w:sz w:val="28"/>
          <w:szCs w:val="28"/>
        </w:rPr>
        <w:t>财税研究</w:t>
      </w:r>
      <w:r>
        <w:rPr>
          <w:rFonts w:ascii="Calibri" w:eastAsia="Calibri" w:hAnsi="Calibri" w:hint="eastAsia"/>
          <w:color w:val="333333"/>
          <w:sz w:val="28"/>
          <w:szCs w:val="28"/>
        </w:rPr>
        <w:t>,2015(06)</w:t>
      </w:r>
    </w:p>
    <w:sectPr w:rsidR="0006193F" w:rsidSect="0006193F">
      <w:endnotePr>
        <w:numFmt w:val="decimal"/>
      </w:endnotePr>
      <w:pgSz w:w="11906" w:h="16838"/>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3DD4"/>
    <w:multiLevelType w:val="singleLevel"/>
    <w:tmpl w:val="7CAEC57A"/>
    <w:name w:val="Bullet 2"/>
    <w:lvl w:ilvl="0">
      <w:start w:val="1"/>
      <w:numFmt w:val="lowerLetter"/>
      <w:lvlText w:val="%1"/>
      <w:lvlJc w:val="left"/>
      <w:pPr>
        <w:tabs>
          <w:tab w:val="num" w:pos="0"/>
        </w:tabs>
        <w:ind w:left="0" w:firstLine="0"/>
      </w:pPr>
    </w:lvl>
  </w:abstractNum>
  <w:abstractNum w:abstractNumId="1">
    <w:nsid w:val="0F9F7911"/>
    <w:multiLevelType w:val="singleLevel"/>
    <w:tmpl w:val="841A3A94"/>
    <w:name w:val="Bullet 5"/>
    <w:lvl w:ilvl="0">
      <w:start w:val="1"/>
      <w:numFmt w:val="japaneseCounting"/>
      <w:lvlText w:val="%1"/>
      <w:lvlJc w:val="left"/>
      <w:pPr>
        <w:tabs>
          <w:tab w:val="num" w:pos="0"/>
        </w:tabs>
        <w:ind w:left="0" w:firstLine="0"/>
      </w:pPr>
    </w:lvl>
  </w:abstractNum>
  <w:abstractNum w:abstractNumId="2">
    <w:nsid w:val="14D73910"/>
    <w:multiLevelType w:val="singleLevel"/>
    <w:tmpl w:val="D7F43170"/>
    <w:name w:val="Bullet 1"/>
    <w:lvl w:ilvl="0">
      <w:start w:val="1"/>
      <w:numFmt w:val="decimal"/>
      <w:lvlText w:val="%1"/>
      <w:lvlJc w:val="left"/>
      <w:pPr>
        <w:tabs>
          <w:tab w:val="num" w:pos="0"/>
        </w:tabs>
        <w:ind w:left="0" w:firstLine="0"/>
      </w:pPr>
    </w:lvl>
  </w:abstractNum>
  <w:abstractNum w:abstractNumId="3">
    <w:nsid w:val="1A393AA9"/>
    <w:multiLevelType w:val="singleLevel"/>
    <w:tmpl w:val="283285F2"/>
    <w:name w:val="Bullet 4"/>
    <w:lvl w:ilvl="0">
      <w:start w:val="1"/>
      <w:numFmt w:val="decimal"/>
      <w:lvlText w:val="%1"/>
      <w:lvlJc w:val="left"/>
      <w:pPr>
        <w:tabs>
          <w:tab w:val="num" w:pos="0"/>
        </w:tabs>
        <w:ind w:left="0" w:firstLine="0"/>
      </w:pPr>
    </w:lvl>
  </w:abstractNum>
  <w:abstractNum w:abstractNumId="4">
    <w:nsid w:val="435F4431"/>
    <w:multiLevelType w:val="singleLevel"/>
    <w:tmpl w:val="91D87AA2"/>
    <w:name w:val="Bullet 3"/>
    <w:lvl w:ilvl="0">
      <w:start w:val="1"/>
      <w:numFmt w:val="lowerRoman"/>
      <w:lvlText w:val="%1"/>
      <w:lvlJc w:val="left"/>
      <w:pPr>
        <w:tabs>
          <w:tab w:val="num" w:pos="0"/>
        </w:tabs>
        <w:ind w:left="0" w:firstLine="0"/>
      </w:pPr>
    </w:lvl>
  </w:abstractNum>
  <w:abstractNum w:abstractNumId="5">
    <w:nsid w:val="5FAB6B5A"/>
    <w:multiLevelType w:val="singleLevel"/>
    <w:tmpl w:val="360016D6"/>
    <w:name w:val="Bullet 6"/>
    <w:lvl w:ilvl="0">
      <w:start w:val="2"/>
      <w:numFmt w:val="decimal"/>
      <w:lvlText w:val="%1"/>
      <w:lvlJc w:val="left"/>
      <w:pPr>
        <w:tabs>
          <w:tab w:val="num" w:pos="0"/>
        </w:tabs>
        <w:ind w:left="0" w:firstLine="0"/>
      </w:pPr>
    </w:lvl>
  </w:abstractNum>
  <w:abstractNum w:abstractNumId="6">
    <w:nsid w:val="699C4BDB"/>
    <w:multiLevelType w:val="multilevel"/>
    <w:tmpl w:val="47E8E796"/>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0"/>
  <w:drawingGridVerticalSpacing w:val="156"/>
  <w:characterSpacingControl w:val="doNotCompress"/>
  <w:endnotePr>
    <w:numFmt w:val="decimal"/>
  </w:endnotePr>
  <w:compat>
    <w:doNotExpandShiftReturn/>
    <w:useFELayout/>
  </w:compat>
  <w:rsids>
    <w:rsidRoot w:val="0006193F"/>
    <w:rsid w:val="0006193F"/>
    <w:rsid w:val="009967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kern w:val="1"/>
        <w:sz w:val="21"/>
        <w:szCs w:val="22"/>
        <w:lang w:val="en-US" w:eastAsia="zh-CN" w:bidi="ar-SA"/>
      </w:rPr>
    </w:rPrDefault>
    <w:pPrDefault>
      <w:pPr>
        <w:widowControl w:val="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default="1" w:styleId="a">
    <w:name w:val="Normal"/>
    <w:qFormat/>
    <w:rsid w:val="0006193F"/>
  </w:style>
  <w:style w:type="paragraph" w:styleId="2">
    <w:name w:val="heading 2"/>
    <w:qFormat/>
    <w:rsid w:val="0006193F"/>
    <w:pPr>
      <w:keepNext/>
      <w:keepLines/>
      <w:spacing w:before="260" w:after="260" w:line="415" w:lineRule="auto"/>
      <w:outlineLvl w:val="1"/>
    </w:pPr>
    <w:rPr>
      <w:rFonts w:ascii="Cambria" w:eastAsia="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qFormat/>
    <w:rsid w:val="0006193F"/>
    <w:pPr>
      <w:ind w:firstLine="420"/>
    </w:pPr>
  </w:style>
  <w:style w:type="paragraph" w:styleId="a4">
    <w:name w:val="Normal (Web)"/>
    <w:qFormat/>
    <w:rsid w:val="0006193F"/>
    <w:pPr>
      <w:widowControl/>
      <w:spacing w:before="100" w:beforeAutospacing="1" w:after="100" w:afterAutospacing="1"/>
      <w:jc w:val="left"/>
    </w:pPr>
    <w:rPr>
      <w:rFonts w:ascii="宋体" w:eastAsia="宋体" w:hAnsi="宋体" w:cs="宋体"/>
      <w:sz w:val="24"/>
      <w:szCs w:val="24"/>
    </w:rPr>
  </w:style>
  <w:style w:type="paragraph" w:customStyle="1" w:styleId="Header">
    <w:name w:val="Header"/>
    <w:qFormat/>
    <w:rsid w:val="0006193F"/>
    <w:pPr>
      <w:pBdr>
        <w:top w:val="none" w:sz="0" w:space="3" w:color="000000"/>
        <w:left w:val="none" w:sz="0" w:space="3" w:color="000000"/>
        <w:bottom w:val="single" w:sz="6" w:space="1" w:color="000000"/>
        <w:right w:val="none" w:sz="0" w:space="3" w:color="000000"/>
        <w:between w:val="none" w:sz="0" w:space="0" w:color="000000"/>
      </w:pBdr>
      <w:tabs>
        <w:tab w:val="center" w:pos="4153"/>
        <w:tab w:val="right" w:pos="8306"/>
      </w:tabs>
      <w:jc w:val="center"/>
    </w:pPr>
    <w:rPr>
      <w:sz w:val="18"/>
      <w:szCs w:val="18"/>
    </w:rPr>
  </w:style>
  <w:style w:type="paragraph" w:customStyle="1" w:styleId="Footer">
    <w:name w:val="Footer"/>
    <w:qFormat/>
    <w:rsid w:val="0006193F"/>
    <w:pPr>
      <w:tabs>
        <w:tab w:val="center" w:pos="4153"/>
        <w:tab w:val="right" w:pos="8306"/>
      </w:tabs>
      <w:jc w:val="left"/>
    </w:pPr>
    <w:rPr>
      <w:sz w:val="18"/>
      <w:szCs w:val="18"/>
    </w:rPr>
  </w:style>
  <w:style w:type="character" w:customStyle="1" w:styleId="2Char">
    <w:name w:val="标题 2 Char"/>
    <w:rsid w:val="0006193F"/>
    <w:rPr>
      <w:rFonts w:ascii="Cambria" w:eastAsia="Cambria" w:hAnsi="Cambria"/>
      <w:b/>
      <w:bCs/>
      <w:sz w:val="32"/>
      <w:szCs w:val="32"/>
    </w:rPr>
  </w:style>
  <w:style w:type="character" w:customStyle="1" w:styleId="Char">
    <w:name w:val="页眉 Char"/>
    <w:rsid w:val="0006193F"/>
    <w:rPr>
      <w:sz w:val="18"/>
      <w:szCs w:val="18"/>
    </w:rPr>
  </w:style>
  <w:style w:type="character" w:customStyle="1" w:styleId="Char0">
    <w:name w:val="页脚 Char"/>
    <w:rsid w:val="000619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Calibri" w:cs="Times New Roman"/>
        <w:kern w:val="1"/>
        <w:sz w:val="21"/>
        <w:szCs w:val="22"/>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2">
    <w:name w:val="heading 2"/>
    <w:qFormat/>
    <w:basedOn w:val=""/>
    <w:next w:val=""/>
    <w:pPr>
      <w:spacing w:before="260" w:after="260" w:line="415" w:lineRule="auto"/>
      <w:keepNext/>
      <w:outlineLvl w:val="1"/>
      <w:keepLines/>
    </w:pPr>
    <w:rPr>
      <w:rFonts w:ascii="Cambria" w:hAnsi="Cambria" w:eastAsia="Cambria"/>
      <w:b/>
      <w:bCs/>
      <w:sz w:val="32"/>
      <w:szCs w:val="32"/>
    </w:rPr>
  </w:style>
  <w:style w:type="paragraph" w:styleId="">
    <w:name w:val="List Paragraph"/>
    <w:qFormat/>
    <w:basedOn w:val=""/>
    <w:pPr>
      <w:ind w:firstLine="420"/>
    </w:pPr>
  </w:style>
  <w:style w:type="paragraph" w:styleId="()">
    <w:name w:val="Normal (Web)"/>
    <w:qFormat/>
    <w:basedOn w:val=""/>
    <w:pPr>
      <w:spacing w:before="100" w:after="100" w:beforeAutospacing="1" w:afterAutospacing="1"/>
      <w:jc w:val="left"/>
      <w:widowControl/>
    </w:pPr>
    <w:rPr>
      <w:rFonts w:ascii="宋体" w:hAnsi="宋体" w:eastAsia="宋体" w:cs="宋体"/>
      <w:sz w:val="24"/>
      <w:szCs w:val="24"/>
    </w:rPr>
  </w:style>
  <w:style w:type="paragraph" w:styleId="">
    <w:name w:val="Header"/>
    <w:qFormat/>
    <w:basedOn w:val=""/>
    <w:pPr>
      <w:spacing/>
      <w:jc w:val="center"/>
      <w:tabs>
        <w:tab w:val="center" w:pos="4153" w:leader="none"/>
        <w:tab w:val="right" w:pos="8306" w:leader="none"/>
      </w:tabs>
      <w:pBdr>
        <w:top w:val="none" w:sz="0" w:space="3" w:color="000000"/>
        <w:left w:val="none" w:sz="0" w:space="3" w:color="000000"/>
        <w:bottom w:val="single" w:sz="6" w:space="1" w:color="000000"/>
        <w:right w:val="none" w:sz="0" w:space="3" w:color="000000"/>
        <w:between w:val="none" w:sz="0" w:space="0" w:color="000000"/>
      </w:pBdr>
      <w:shd w:val="none"/>
    </w:pPr>
    <w:rPr>
      <w:sz w:val="18"/>
      <w:szCs w:val="18"/>
    </w:rPr>
  </w:style>
  <w:style w:type="paragraph" w:styleId="">
    <w:name w:val="Footer"/>
    <w:qFormat/>
    <w:basedOn w:val=""/>
    <w:pPr>
      <w:spacing/>
      <w:jc w:val="left"/>
      <w:tabs>
        <w:tab w:val="center" w:pos="4153" w:leader="none"/>
        <w:tab w:val="right" w:pos="8306" w:leader="none"/>
      </w:tabs>
    </w:pPr>
    <w:rPr>
      <w:sz w:val="18"/>
      <w:szCs w:val="18"/>
    </w:rPr>
  </w:style>
  <w:style w:type="character" w:styleId="" w:default="1">
    <w:name w:val="Default Paragraph Font"/>
  </w:style>
  <w:style w:type="character" w:styleId="2Char" w:customStyle="1">
    <w:name w:val="标题 2 Char"/>
    <w:basedOn w:val=""/>
    <w:rPr>
      <w:rFonts w:ascii="Cambria" w:hAnsi="Cambria" w:eastAsia="Cambria"/>
      <w:b/>
      <w:bCs/>
      <w:sz w:val="32"/>
      <w:szCs w:val="32"/>
    </w:rPr>
  </w:style>
  <w:style w:type="character" w:styleId="Char" w:customStyle="1">
    <w:name w:val="页眉 Char"/>
    <w:basedOn w:val=""/>
    <w:rPr>
      <w:sz w:val="18"/>
      <w:szCs w:val="18"/>
    </w:rPr>
  </w:style>
  <w:style w:type="character" w:styleId="Char" w:customStyle="1">
    <w:name w:val="页脚 Char"/>
    <w:basedOn w:val=""/>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Times New Roman"/>
      </a:majorFont>
      <a:minorFont>
        <a:latin typeface="Calibri"/>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811</Words>
  <Characters>4625</Characters>
  <Application>Microsoft Office Word</Application>
  <DocSecurity>0</DocSecurity>
  <Lines>38</Lines>
  <Paragraphs>10</Paragraphs>
  <ScaleCrop>false</ScaleCrop>
  <Company/>
  <LinksUpToDate>false</LinksUpToDate>
  <CharactersWithSpaces>5426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成博怀</dc:creator>
  <cp:lastModifiedBy>xbany</cp:lastModifiedBy>
  <cp:revision>2</cp:revision>
  <dcterms:created xsi:type="dcterms:W3CDTF">2017-10-21T03:47:00Z</dcterms:created>
  <dcterms:modified xsi:type="dcterms:W3CDTF">2017-10-21T03:47:00Z</dcterms:modified>
</cp:coreProperties>
</file>