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158" w:rsidRDefault="0070573E">
      <w:pPr>
        <w:spacing w:line="480" w:lineRule="auto"/>
        <w:ind w:firstLine="723"/>
        <w:jc w:val="center"/>
        <w:rPr>
          <w:rFonts w:eastAsia="Calibri"/>
          <w:b/>
          <w:sz w:val="36"/>
          <w:szCs w:val="36"/>
        </w:rPr>
      </w:pPr>
      <w:r>
        <w:rPr>
          <w:rFonts w:eastAsia="Calibri" w:hint="eastAsia"/>
          <w:b/>
          <w:sz w:val="36"/>
          <w:szCs w:val="36"/>
        </w:rPr>
        <w:t>明清时期苏州社会的善书劝善</w:t>
      </w:r>
    </w:p>
    <w:p w:rsidR="00220158" w:rsidRDefault="00220158">
      <w:pPr>
        <w:spacing w:line="360" w:lineRule="auto"/>
        <w:jc w:val="center"/>
        <w:rPr>
          <w:rFonts w:eastAsia="Calibri"/>
          <w:sz w:val="24"/>
          <w:szCs w:val="24"/>
        </w:rPr>
      </w:pPr>
    </w:p>
    <w:p w:rsidR="00220158" w:rsidRDefault="0070573E">
      <w:pPr>
        <w:spacing w:line="480" w:lineRule="auto"/>
        <w:jc w:val="center"/>
        <w:rPr>
          <w:rFonts w:eastAsia="Calibri"/>
          <w:sz w:val="24"/>
          <w:szCs w:val="24"/>
        </w:rPr>
      </w:pPr>
      <w:r>
        <w:rPr>
          <w:rFonts w:eastAsia="Calibri" w:hint="eastAsia"/>
          <w:sz w:val="24"/>
          <w:szCs w:val="24"/>
        </w:rPr>
        <w:t>符晓林</w:t>
      </w:r>
    </w:p>
    <w:p w:rsidR="00220158" w:rsidRDefault="0070573E">
      <w:pPr>
        <w:spacing w:line="480" w:lineRule="auto"/>
        <w:jc w:val="center"/>
        <w:rPr>
          <w:rFonts w:eastAsia="Calibri"/>
          <w:sz w:val="24"/>
          <w:szCs w:val="24"/>
        </w:rPr>
      </w:pPr>
      <w:r>
        <w:rPr>
          <w:rFonts w:eastAsia="Calibri" w:hint="eastAsia"/>
          <w:sz w:val="24"/>
          <w:szCs w:val="24"/>
        </w:rPr>
        <w:t>(</w:t>
      </w:r>
      <w:r>
        <w:rPr>
          <w:rFonts w:eastAsia="Calibri" w:hint="eastAsia"/>
          <w:sz w:val="24"/>
          <w:szCs w:val="24"/>
        </w:rPr>
        <w:t>江西师范大学</w:t>
      </w:r>
      <w:r>
        <w:rPr>
          <w:rFonts w:eastAsia="Calibri" w:hint="eastAsia"/>
          <w:sz w:val="24"/>
          <w:szCs w:val="24"/>
        </w:rPr>
        <w:t xml:space="preserve"> </w:t>
      </w:r>
      <w:r>
        <w:rPr>
          <w:rFonts w:eastAsia="Calibri" w:hint="eastAsia"/>
          <w:sz w:val="24"/>
          <w:szCs w:val="24"/>
        </w:rPr>
        <w:t>历史文化与旅游学院，江西</w:t>
      </w:r>
      <w:r>
        <w:rPr>
          <w:rFonts w:eastAsia="Calibri" w:hint="eastAsia"/>
          <w:sz w:val="24"/>
          <w:szCs w:val="24"/>
        </w:rPr>
        <w:t xml:space="preserve"> </w:t>
      </w:r>
      <w:r>
        <w:rPr>
          <w:rFonts w:eastAsia="Calibri" w:hint="eastAsia"/>
          <w:sz w:val="24"/>
          <w:szCs w:val="24"/>
        </w:rPr>
        <w:t>南昌</w:t>
      </w:r>
      <w:r>
        <w:rPr>
          <w:rFonts w:eastAsia="Calibri" w:hint="eastAsia"/>
          <w:sz w:val="24"/>
          <w:szCs w:val="24"/>
        </w:rPr>
        <w:t xml:space="preserve"> 330022)</w:t>
      </w:r>
    </w:p>
    <w:p w:rsidR="00220158" w:rsidRDefault="0070573E">
      <w:pPr>
        <w:spacing w:line="480" w:lineRule="auto"/>
        <w:ind w:firstLine="480"/>
        <w:rPr>
          <w:rFonts w:eastAsia="Calibri"/>
          <w:noProof/>
          <w:sz w:val="24"/>
          <w:szCs w:val="24"/>
        </w:rPr>
      </w:pPr>
      <w:r>
        <w:rPr>
          <w:rFonts w:eastAsia="Calibri" w:hint="eastAsia"/>
          <w:sz w:val="24"/>
          <w:szCs w:val="24"/>
        </w:rPr>
        <w:t>摘要：王国平、唐力行教授主编的《明清以来苏州社会史碑刻集》（以下简称《碑刻集》）于</w:t>
      </w:r>
      <w:r>
        <w:rPr>
          <w:rFonts w:eastAsia="Calibri" w:hint="eastAsia"/>
          <w:sz w:val="24"/>
          <w:szCs w:val="24"/>
        </w:rPr>
        <w:t>1998</w:t>
      </w:r>
      <w:r>
        <w:rPr>
          <w:rFonts w:eastAsia="Calibri" w:hint="eastAsia"/>
          <w:sz w:val="24"/>
          <w:szCs w:val="24"/>
        </w:rPr>
        <w:t>年出版。该《碑刻集》是国内公开出版的第一本社会史碑刻集，内容丰富，反映明清苏州社会生活的方方面面。其中，第</w:t>
      </w:r>
      <w:r>
        <w:rPr>
          <w:rFonts w:eastAsia="Calibri" w:hint="eastAsia"/>
          <w:sz w:val="24"/>
          <w:szCs w:val="24"/>
        </w:rPr>
        <w:t>403</w:t>
      </w:r>
      <w:r>
        <w:rPr>
          <w:rFonts w:eastAsia="Calibri" w:hint="eastAsia"/>
          <w:sz w:val="24"/>
          <w:szCs w:val="24"/>
        </w:rPr>
        <w:t>、</w:t>
      </w:r>
      <w:r>
        <w:rPr>
          <w:rFonts w:eastAsia="Calibri" w:hint="eastAsia"/>
          <w:sz w:val="24"/>
          <w:szCs w:val="24"/>
        </w:rPr>
        <w:t>404</w:t>
      </w:r>
      <w:r>
        <w:rPr>
          <w:rFonts w:eastAsia="Calibri" w:hint="eastAsia"/>
          <w:sz w:val="24"/>
          <w:szCs w:val="24"/>
        </w:rPr>
        <w:t>、</w:t>
      </w:r>
      <w:r>
        <w:rPr>
          <w:rFonts w:eastAsia="Calibri" w:hint="eastAsia"/>
          <w:sz w:val="24"/>
          <w:szCs w:val="24"/>
        </w:rPr>
        <w:t>405</w:t>
      </w:r>
      <w:r>
        <w:rPr>
          <w:rFonts w:eastAsia="Calibri" w:hint="eastAsia"/>
          <w:sz w:val="24"/>
          <w:szCs w:val="24"/>
        </w:rPr>
        <w:t>、</w:t>
      </w:r>
      <w:r>
        <w:rPr>
          <w:rFonts w:eastAsia="Calibri" w:hint="eastAsia"/>
          <w:sz w:val="24"/>
          <w:szCs w:val="24"/>
        </w:rPr>
        <w:t>406</w:t>
      </w:r>
      <w:r>
        <w:rPr>
          <w:rFonts w:eastAsia="Calibri" w:hint="eastAsia"/>
          <w:sz w:val="24"/>
          <w:szCs w:val="24"/>
        </w:rPr>
        <w:t>、</w:t>
      </w:r>
      <w:r>
        <w:rPr>
          <w:rFonts w:eastAsia="Calibri" w:hint="eastAsia"/>
          <w:sz w:val="24"/>
          <w:szCs w:val="24"/>
        </w:rPr>
        <w:t>407</w:t>
      </w:r>
      <w:r>
        <w:rPr>
          <w:rFonts w:eastAsia="Calibri" w:hint="eastAsia"/>
          <w:sz w:val="24"/>
          <w:szCs w:val="24"/>
        </w:rPr>
        <w:t>、</w:t>
      </w:r>
      <w:r>
        <w:rPr>
          <w:rFonts w:eastAsia="Calibri" w:hint="eastAsia"/>
          <w:sz w:val="24"/>
          <w:szCs w:val="24"/>
        </w:rPr>
        <w:t>408</w:t>
      </w:r>
      <w:r>
        <w:rPr>
          <w:rFonts w:eastAsia="Calibri" w:hint="eastAsia"/>
          <w:noProof/>
          <w:sz w:val="24"/>
          <w:szCs w:val="24"/>
        </w:rPr>
        <w:t>号等六块碑上的碑文是当年的善书，</w:t>
      </w:r>
      <w:r>
        <w:rPr>
          <w:rFonts w:eastAsia="Calibri" w:hint="eastAsia"/>
          <w:sz w:val="24"/>
          <w:szCs w:val="24"/>
        </w:rPr>
        <w:t>善书发挥道德劝化功能，好事者将善书镌刻成碑文，努力引导社会道德风向。本文借此</w:t>
      </w:r>
      <w:r>
        <w:rPr>
          <w:rFonts w:eastAsia="Calibri" w:hint="eastAsia"/>
          <w:noProof/>
          <w:sz w:val="24"/>
          <w:szCs w:val="24"/>
        </w:rPr>
        <w:t>一窥明清苏州社会的</w:t>
      </w:r>
      <w:r>
        <w:rPr>
          <w:rFonts w:eastAsia="Calibri" w:hint="eastAsia"/>
          <w:noProof/>
          <w:sz w:val="24"/>
          <w:szCs w:val="24"/>
        </w:rPr>
        <w:t>道德引导方式及其取向。</w:t>
      </w:r>
    </w:p>
    <w:p w:rsidR="00220158" w:rsidRDefault="00220158">
      <w:pPr>
        <w:spacing w:line="480" w:lineRule="auto"/>
        <w:ind w:firstLine="480"/>
        <w:rPr>
          <w:rFonts w:eastAsia="Calibri"/>
          <w:noProof/>
          <w:sz w:val="24"/>
          <w:szCs w:val="24"/>
        </w:rPr>
      </w:pPr>
    </w:p>
    <w:p w:rsidR="00220158" w:rsidRDefault="0070573E">
      <w:pPr>
        <w:spacing w:line="480" w:lineRule="auto"/>
        <w:ind w:firstLine="480"/>
        <w:rPr>
          <w:rFonts w:eastAsia="Calibri"/>
          <w:noProof/>
          <w:sz w:val="24"/>
          <w:szCs w:val="24"/>
        </w:rPr>
      </w:pPr>
      <w:r>
        <w:rPr>
          <w:rFonts w:eastAsia="Calibri" w:hint="eastAsia"/>
          <w:noProof/>
          <w:sz w:val="24"/>
          <w:szCs w:val="24"/>
        </w:rPr>
        <w:t>关键词：明清时期；苏州社会；善书；道德</w:t>
      </w:r>
    </w:p>
    <w:p w:rsidR="00220158" w:rsidRDefault="0070573E">
      <w:pPr>
        <w:spacing w:line="480" w:lineRule="auto"/>
        <w:ind w:firstLine="480"/>
        <w:rPr>
          <w:rFonts w:eastAsia="Calibri"/>
          <w:sz w:val="24"/>
          <w:szCs w:val="24"/>
        </w:rPr>
      </w:pPr>
      <w:r>
        <w:rPr>
          <w:rFonts w:eastAsia="Calibri" w:hint="eastAsia"/>
          <w:sz w:val="24"/>
          <w:szCs w:val="24"/>
        </w:rPr>
        <w:t>道德引导是社会生活重要的环节，明清时期苏州社会的商品经济发展，引发种种社会矛盾，对此好事者将善书镌刻成碑文，努力引导社会道德风向。</w:t>
      </w:r>
    </w:p>
    <w:p w:rsidR="00220158" w:rsidRDefault="0070573E">
      <w:pPr>
        <w:spacing w:line="480" w:lineRule="auto"/>
        <w:ind w:firstLine="480"/>
        <w:rPr>
          <w:rFonts w:eastAsia="Calibri"/>
          <w:sz w:val="24"/>
          <w:szCs w:val="24"/>
        </w:rPr>
      </w:pPr>
      <w:r>
        <w:rPr>
          <w:rFonts w:eastAsia="Calibri" w:hint="eastAsia"/>
          <w:sz w:val="24"/>
          <w:szCs w:val="24"/>
        </w:rPr>
        <w:t>403</w:t>
      </w:r>
      <w:r>
        <w:rPr>
          <w:rFonts w:eastAsia="Calibri" w:hint="eastAsia"/>
          <w:sz w:val="24"/>
          <w:szCs w:val="24"/>
        </w:rPr>
        <w:t>号碑《靠天吃饭图说》引用古语，劝诫人们将命运交付给天：“古语云：信步行将去，凭天付下来。古今大家小户，谁不靠天吃饭？冥冥之中，自有定数。只要安分守己，顺理行去，何必朝思夕想，枉费心机？又语云：千算万算，难逃天止一算。”又，录往昔的《警世歌》，其中“一生都是命安排，求甚么”、“儿孙自有儿孙福，忧甚么”、“他家</w:t>
      </w:r>
      <w:r>
        <w:rPr>
          <w:rFonts w:eastAsia="Calibri" w:hint="eastAsia"/>
          <w:sz w:val="24"/>
          <w:szCs w:val="24"/>
        </w:rPr>
        <w:t>富贵生前定，妒甚么”、“前世不修今世苦，怨甚么”等句子，都是劝诫世人一切天注定。明清时期的苏州社会商品经济发达，源于大量徽州移民，无徽不成镇，并出现行商、坐商与海商等多种形式的商人，且资本主义早先在这里生根发芽，在传统四民社会，商人在等级社会不</w:t>
      </w:r>
      <w:r>
        <w:rPr>
          <w:rFonts w:eastAsia="Calibri" w:hint="eastAsia"/>
          <w:sz w:val="24"/>
          <w:szCs w:val="24"/>
        </w:rPr>
        <w:lastRenderedPageBreak/>
        <w:t>看好的情况下，打拼自己的天下。按照一般逻辑思维，应该鼓励冒进与闯荡，但是，该碑文善书中却不断打击民众拼搏的积极性，固守现有的条件莫去争夺，不尽让人思考。余以为，碑文强调的不是一昧的保守，而是鼓励一种对欲望的克制。</w:t>
      </w:r>
      <w:r>
        <w:rPr>
          <w:rFonts w:eastAsia="Calibri" w:hint="eastAsia"/>
          <w:sz w:val="24"/>
          <w:szCs w:val="24"/>
        </w:rPr>
        <w:t xml:space="preserve"> </w:t>
      </w:r>
    </w:p>
    <w:p w:rsidR="00220158" w:rsidRDefault="0070573E">
      <w:pPr>
        <w:spacing w:line="480" w:lineRule="auto"/>
        <w:ind w:firstLine="480"/>
        <w:rPr>
          <w:rFonts w:eastAsia="Calibri"/>
          <w:sz w:val="24"/>
          <w:szCs w:val="24"/>
        </w:rPr>
      </w:pPr>
      <w:r>
        <w:rPr>
          <w:rFonts w:eastAsia="Calibri" w:hint="eastAsia"/>
          <w:sz w:val="24"/>
          <w:szCs w:val="24"/>
        </w:rPr>
        <w:t>404</w:t>
      </w:r>
      <w:r>
        <w:rPr>
          <w:rFonts w:eastAsia="Calibri" w:hint="eastAsia"/>
          <w:sz w:val="24"/>
          <w:szCs w:val="24"/>
        </w:rPr>
        <w:t>号碑《行乐歌》是明代人孙玉柱赞美家族先祖归隐山</w:t>
      </w:r>
      <w:r>
        <w:rPr>
          <w:rFonts w:eastAsia="Calibri" w:hint="eastAsia"/>
          <w:sz w:val="24"/>
          <w:szCs w:val="24"/>
        </w:rPr>
        <w:t>林一事，“时当宋季，身履金寇之变，志不仕元，弃上虞故里，遁居琴川，是闻伯夷之风而兴者，真与晋陶靖节一辙也”。不仅如此，他并将自己仕途亨通归因于始祖的“亢志隐德”，“玉柱忝登嘉靖壬辰榜进士，仕至中宪大夫按察使副使，此吾始祖亢志隐德之源深，曾祖卫国保民之积厚也”。至此有两点值得细细咀嚼。第一，孙玉柱身处明朝嘉靖年间，他将“隐德”视为一种“美德”，这符合明代前期的墓志铭中常常出现“隐德弗耀”的现象，这表明在出世与入世中，明代前期的苏州人更倾向于作一个低调的隐士。第二，孙玉柱赞美出世，却选择入世，可见明朝中期处于社</w:t>
      </w:r>
      <w:r>
        <w:rPr>
          <w:rFonts w:eastAsia="Calibri" w:hint="eastAsia"/>
          <w:sz w:val="24"/>
          <w:szCs w:val="24"/>
        </w:rPr>
        <w:t>会转型期，“仕”与“隐”都是值得称道的取向，并且随着江南商品经济的发展，讲求实际的入世行为逐渐要占据上风。</w:t>
      </w:r>
    </w:p>
    <w:p w:rsidR="00220158" w:rsidRDefault="0070573E">
      <w:pPr>
        <w:spacing w:line="480" w:lineRule="auto"/>
        <w:ind w:firstLine="480"/>
        <w:rPr>
          <w:rFonts w:eastAsia="Calibri"/>
          <w:sz w:val="24"/>
          <w:szCs w:val="24"/>
        </w:rPr>
      </w:pPr>
      <w:r>
        <w:rPr>
          <w:rFonts w:eastAsia="Calibri" w:hint="eastAsia"/>
          <w:noProof/>
          <w:sz w:val="24"/>
          <w:szCs w:val="24"/>
        </w:rPr>
        <w:t>405</w:t>
      </w:r>
      <w:r>
        <w:rPr>
          <w:rFonts w:eastAsia="Calibri" w:hint="eastAsia"/>
          <w:noProof/>
          <w:sz w:val="24"/>
          <w:szCs w:val="24"/>
        </w:rPr>
        <w:t>号碑《忍字歌》提出吴地江北与江南两处民风皆是喜欢与人争执，并惹来不小的麻烦。江北人好争名利，与人常争执于田屋与钱财，一言不合便酿成人命之灾，凶首重则遭砍头或绞刑，轻则承受监牢之苦，连累父母与妻孥，株连证佐与邻保。更有一种亡命徒，不惜弃命去害人。江南人则非争名利只争气，</w:t>
      </w:r>
      <w:r>
        <w:rPr>
          <w:rFonts w:eastAsia="Calibri" w:hint="eastAsia"/>
          <w:noProof/>
          <w:sz w:val="24"/>
          <w:szCs w:val="24"/>
        </w:rPr>
        <w:t xml:space="preserve"> </w:t>
      </w:r>
      <w:r>
        <w:rPr>
          <w:rFonts w:eastAsia="Calibri" w:hint="eastAsia"/>
          <w:noProof/>
          <w:sz w:val="24"/>
          <w:szCs w:val="24"/>
        </w:rPr>
        <w:t>一纸诉状到衙门，讼师、衙役认钱不认理，穷者成输家，赔了夫人又折兵。这就是所谓的“</w:t>
      </w:r>
      <w:r>
        <w:rPr>
          <w:rFonts w:eastAsia="Calibri" w:hint="eastAsia"/>
          <w:sz w:val="24"/>
          <w:szCs w:val="24"/>
        </w:rPr>
        <w:t>江北好勇多轻生”，“江南好讼多速狱”。究其原因，</w:t>
      </w:r>
      <w:r>
        <w:rPr>
          <w:rFonts w:eastAsia="Calibri" w:hint="eastAsia"/>
          <w:sz w:val="24"/>
          <w:szCs w:val="24"/>
        </w:rPr>
        <w:t>认为是不忍，“好勇皆由不忍来，细嫌小隙构祸胎”，“乃若好讼犹可异，事起睚眦极微细”。鉴于此，碑文劝诫人们在天伦之间遵循“忍”的处事原则，方能避免灾祸，与</w:t>
      </w:r>
      <w:r>
        <w:rPr>
          <w:rFonts w:eastAsia="Calibri" w:hint="eastAsia"/>
          <w:sz w:val="24"/>
          <w:szCs w:val="24"/>
        </w:rPr>
        <w:lastRenderedPageBreak/>
        <w:t>人和睦相处。早在西汉，司马迁总结历史经验，已提出“天下熙熙皆为利来，天下攘攘皆为利往”，而明清苏州社会矛盾的产生与解决也紧紧围绕着“利”，古往今来，人们面对生活资料与生产资料都不惜一切代价去争取，这在商品经济发达的明清苏州社会表现得更为明显，苏州人面对这古今难题，提出“忍”的解决方案，可见，深受儒家以和为贵道德标准的影响。</w:t>
      </w:r>
    </w:p>
    <w:p w:rsidR="00220158" w:rsidRDefault="0070573E">
      <w:pPr>
        <w:spacing w:line="480" w:lineRule="auto"/>
        <w:ind w:firstLine="480"/>
        <w:rPr>
          <w:rFonts w:eastAsia="Calibri"/>
          <w:sz w:val="24"/>
          <w:szCs w:val="24"/>
        </w:rPr>
      </w:pPr>
      <w:r>
        <w:rPr>
          <w:rFonts w:eastAsia="Calibri" w:cs="MS Mincho" w:hint="eastAsia"/>
          <w:sz w:val="24"/>
          <w:szCs w:val="24"/>
        </w:rPr>
        <w:t>406</w:t>
      </w:r>
      <w:r>
        <w:rPr>
          <w:rFonts w:eastAsia="Calibri" w:hint="eastAsia"/>
          <w:sz w:val="24"/>
          <w:szCs w:val="24"/>
        </w:rPr>
        <w:t>号碑《关圣帝君宝训》</w:t>
      </w:r>
      <w:r>
        <w:rPr>
          <w:rFonts w:eastAsia="Calibri" w:cs="MS Mincho" w:hint="eastAsia"/>
          <w:sz w:val="24"/>
          <w:szCs w:val="24"/>
        </w:rPr>
        <w:t>以民间所</w:t>
      </w:r>
      <w:r>
        <w:rPr>
          <w:rFonts w:eastAsia="Calibri" w:cs="MS Mincho" w:hint="eastAsia"/>
          <w:sz w:val="24"/>
          <w:szCs w:val="24"/>
        </w:rPr>
        <w:t>信奉的关圣帝君的口吻引导民众向善。碑文</w:t>
      </w:r>
      <w:r>
        <w:rPr>
          <w:rFonts w:eastAsia="Calibri" w:hint="eastAsia"/>
          <w:sz w:val="24"/>
          <w:szCs w:val="24"/>
        </w:rPr>
        <w:t>先提出人对待天地神灵与五服的行为准则，做到对最亲近的人好之后，还要将善意散播到更远的地方，如：“救难济急，恤孤怜贫。创修庙宇，印造经文。舍药施茶，戒杀放生。造桥修路，矜寡援困。重粟惜福，排难解纷”。一切善事皆由善心出发，心若存恶心，便行恶事，诸如：“淫人妻女，破人婚姻。坏人名节，妒人技能。谋人财产，唆人争讼”。为避免人行恶事，以宗教轮回的因果报应说，规范人们的生活，提倡向善积德。“近报在身，远报子孙。神明鉴察，毫发无紊。善恶两途，祸福攸分，行善福报，作恶祸临”。</w:t>
      </w:r>
    </w:p>
    <w:p w:rsidR="00220158" w:rsidRDefault="0070573E">
      <w:pPr>
        <w:spacing w:line="480" w:lineRule="auto"/>
        <w:ind w:firstLine="480"/>
        <w:rPr>
          <w:rFonts w:eastAsia="Calibri" w:cs="MS Mincho"/>
          <w:sz w:val="24"/>
          <w:szCs w:val="24"/>
        </w:rPr>
      </w:pPr>
      <w:r>
        <w:rPr>
          <w:rFonts w:eastAsia="Calibri" w:cs="MS Mincho" w:hint="eastAsia"/>
          <w:sz w:val="24"/>
          <w:szCs w:val="24"/>
        </w:rPr>
        <w:t>408</w:t>
      </w:r>
      <w:r>
        <w:rPr>
          <w:rFonts w:eastAsia="Calibri" w:cs="MS Mincho" w:hint="eastAsia"/>
          <w:sz w:val="24"/>
          <w:szCs w:val="24"/>
        </w:rPr>
        <w:t>号碑《关圣帝君四愿》同样借助关圣帝君，碑文开宗明义，提出“愿天常生好人，愿人常存好心，愿人常行好事，愿人常说好话”。进而，提出获得幸福的方法论，即学会珍惜，珍惜生命是长寿的秘籍；珍惜粮食是富足的根本；谨言慎行是福贵的基础。同样，与</w:t>
      </w:r>
      <w:r>
        <w:rPr>
          <w:rFonts w:eastAsia="Calibri" w:cs="MS Mincho" w:hint="eastAsia"/>
          <w:sz w:val="24"/>
          <w:szCs w:val="24"/>
        </w:rPr>
        <w:t>406</w:t>
      </w:r>
      <w:r>
        <w:rPr>
          <w:rFonts w:eastAsia="Calibri" w:cs="MS Mincho" w:hint="eastAsia"/>
          <w:sz w:val="24"/>
          <w:szCs w:val="24"/>
        </w:rPr>
        <w:t>号碑一样以“福报”的方式规范人们的行为，“言行必留好样与子孙，心术不可得罪于天地”。</w:t>
      </w:r>
    </w:p>
    <w:p w:rsidR="00220158" w:rsidRDefault="0070573E">
      <w:pPr>
        <w:spacing w:line="480" w:lineRule="auto"/>
        <w:ind w:firstLine="480"/>
        <w:rPr>
          <w:rFonts w:eastAsia="Calibri"/>
          <w:sz w:val="24"/>
          <w:szCs w:val="24"/>
        </w:rPr>
      </w:pPr>
      <w:r>
        <w:rPr>
          <w:rFonts w:eastAsia="Calibri" w:hint="eastAsia"/>
          <w:sz w:val="24"/>
          <w:szCs w:val="24"/>
        </w:rPr>
        <w:t>406</w:t>
      </w:r>
      <w:r>
        <w:rPr>
          <w:rFonts w:eastAsia="Calibri" w:hint="eastAsia"/>
          <w:sz w:val="24"/>
          <w:szCs w:val="24"/>
        </w:rPr>
        <w:t>号碑所指出的损人利己等恶事，并非想象，而是真实存在的社会现象，</w:t>
      </w:r>
      <w:r>
        <w:rPr>
          <w:rFonts w:eastAsia="Calibri" w:hint="eastAsia"/>
          <w:sz w:val="24"/>
          <w:szCs w:val="24"/>
        </w:rPr>
        <w:t>408</w:t>
      </w:r>
      <w:r>
        <w:rPr>
          <w:rFonts w:eastAsia="Calibri" w:hint="eastAsia"/>
          <w:sz w:val="24"/>
          <w:szCs w:val="24"/>
        </w:rPr>
        <w:t>号碑之所以强调的“惜”也是基于社会挥霍之风，明清时期苏州社会繁荣与乱象并存，社会道德秩序急需修复，鉴于此，“请”来了</w:t>
      </w:r>
      <w:r>
        <w:rPr>
          <w:rFonts w:eastAsia="Calibri" w:hint="eastAsia"/>
          <w:sz w:val="24"/>
          <w:szCs w:val="24"/>
        </w:rPr>
        <w:t>关圣帝君与借助“轮回”之说的力量。实际上，关圣帝君乃儒、释、道三教共有的神灵，轮回则是</w:t>
      </w:r>
      <w:r>
        <w:rPr>
          <w:rFonts w:eastAsia="Calibri" w:hint="eastAsia"/>
          <w:sz w:val="24"/>
          <w:szCs w:val="24"/>
        </w:rPr>
        <w:lastRenderedPageBreak/>
        <w:t>佛教语，到了明清时期，宗教之间的间隙不大，逐渐融合一体，这种模糊又统一的民间信仰，对民众无助的内心极尽安抚之责，对民间杂乱的生活秩序发挥了规范作用，是社会稳定不可或缺的力量。</w:t>
      </w:r>
    </w:p>
    <w:p w:rsidR="00220158" w:rsidRDefault="0070573E">
      <w:pPr>
        <w:spacing w:line="480" w:lineRule="auto"/>
        <w:ind w:firstLine="480"/>
        <w:rPr>
          <w:rFonts w:eastAsia="Calibri" w:cs="MS Mincho"/>
          <w:sz w:val="24"/>
          <w:szCs w:val="24"/>
        </w:rPr>
      </w:pPr>
      <w:r>
        <w:rPr>
          <w:rFonts w:eastAsia="Calibri" w:hint="eastAsia"/>
          <w:sz w:val="24"/>
          <w:szCs w:val="24"/>
        </w:rPr>
        <w:t>407</w:t>
      </w:r>
      <w:r>
        <w:rPr>
          <w:rFonts w:eastAsia="Calibri" w:cs="MS Mincho" w:hint="eastAsia"/>
          <w:sz w:val="24"/>
          <w:szCs w:val="24"/>
        </w:rPr>
        <w:t>号碑《书示义庄领米诸人》卢樵镛代表宗族对开设的义田所扶助的对象进行说明，希望宗族义田帮助到真正需要的人，族人要循规蹈矩，按照自身条件领米，不可有所欺瞒。“赡族设义田，望各为良民”。并由此，拓展到对近来出现的不良社会现象进行批判，并警示族人做一个</w:t>
      </w:r>
      <w:r>
        <w:rPr>
          <w:rFonts w:eastAsia="Calibri" w:cs="MS Mincho" w:hint="eastAsia"/>
          <w:sz w:val="24"/>
          <w:szCs w:val="24"/>
        </w:rPr>
        <w:t>守法守规律的人。古代社会人口流动不大，宗族对个人的影响力甚至超越了国家，明清时期如此，时至今日，宗族社会在农村仍有余威，回看近代中国发生多起教案，就是由于外来宗教与本土宗族的碰撞摩擦，而上升成为国家外交事件，宗族为民众所依附，其规则也为民众所遵守。</w:t>
      </w:r>
    </w:p>
    <w:p w:rsidR="00220158" w:rsidRDefault="0070573E">
      <w:pPr>
        <w:spacing w:line="480" w:lineRule="auto"/>
        <w:ind w:firstLine="480"/>
        <w:rPr>
          <w:rFonts w:eastAsia="Calibri"/>
          <w:sz w:val="24"/>
          <w:szCs w:val="24"/>
        </w:rPr>
      </w:pPr>
      <w:r>
        <w:rPr>
          <w:rFonts w:eastAsia="Calibri" w:hint="eastAsia"/>
          <w:sz w:val="24"/>
          <w:szCs w:val="24"/>
        </w:rPr>
        <w:t>对于明清苏州社会而言，商品经济引起尖锐的社会矛盾，有心人将善书镌刻于碑上，试图教化民众、引导民众，改善社会风气。</w:t>
      </w:r>
      <w:r>
        <w:rPr>
          <w:rFonts w:eastAsia="Calibri" w:cs="MS Mincho" w:hint="eastAsia"/>
          <w:sz w:val="24"/>
          <w:szCs w:val="24"/>
        </w:rPr>
        <w:t>从《碑刻集》中的善书尤可见，明清苏州人为化解矛盾，借助古语、先祖、儒家精神、关圣帝君与宗族力量等多种方式，</w:t>
      </w:r>
      <w:r>
        <w:rPr>
          <w:rFonts w:eastAsia="Calibri" w:hint="eastAsia"/>
          <w:sz w:val="24"/>
          <w:szCs w:val="24"/>
        </w:rPr>
        <w:t>劝诫人们克制欲望、发扬隐德、学会隐忍、行善结</w:t>
      </w:r>
      <w:r>
        <w:rPr>
          <w:rFonts w:eastAsia="Calibri" w:hint="eastAsia"/>
          <w:sz w:val="24"/>
          <w:szCs w:val="24"/>
        </w:rPr>
        <w:t>德、学会珍惜、遵守规矩。依靠碑文的广为流传，苏州人们面对诱惑与不堪，都会做出适当的选择，铸就良好的道德风尚。</w:t>
      </w:r>
    </w:p>
    <w:p w:rsidR="00220158" w:rsidRDefault="00220158">
      <w:pPr>
        <w:spacing w:line="480" w:lineRule="auto"/>
        <w:ind w:firstLine="480"/>
        <w:rPr>
          <w:rFonts w:eastAsia="Calibri" w:cs="MS Mincho"/>
          <w:sz w:val="24"/>
          <w:szCs w:val="24"/>
        </w:rPr>
      </w:pPr>
    </w:p>
    <w:p w:rsidR="00220158" w:rsidRDefault="00220158">
      <w:pPr>
        <w:spacing w:line="480" w:lineRule="auto"/>
        <w:ind w:firstLine="480"/>
        <w:rPr>
          <w:rFonts w:eastAsia="Calibri" w:cs="MS Mincho"/>
          <w:sz w:val="24"/>
          <w:szCs w:val="24"/>
        </w:rPr>
      </w:pPr>
    </w:p>
    <w:p w:rsidR="00220158" w:rsidRDefault="00220158">
      <w:pPr>
        <w:spacing w:line="480" w:lineRule="auto"/>
        <w:ind w:firstLine="480"/>
        <w:rPr>
          <w:rFonts w:eastAsia="Calibri" w:cs="MS Mincho"/>
          <w:sz w:val="24"/>
          <w:szCs w:val="24"/>
        </w:rPr>
      </w:pPr>
    </w:p>
    <w:p w:rsidR="00220158" w:rsidRDefault="00220158">
      <w:pPr>
        <w:spacing w:line="480" w:lineRule="auto"/>
        <w:ind w:firstLine="480"/>
        <w:rPr>
          <w:rFonts w:eastAsia="Calibri" w:cs="MS Mincho"/>
          <w:sz w:val="24"/>
          <w:szCs w:val="24"/>
        </w:rPr>
      </w:pPr>
    </w:p>
    <w:p w:rsidR="00220158" w:rsidRDefault="0070573E">
      <w:pPr>
        <w:spacing w:line="480" w:lineRule="auto"/>
        <w:rPr>
          <w:rFonts w:eastAsia="Calibri" w:cs="MS Mincho"/>
          <w:sz w:val="24"/>
          <w:szCs w:val="24"/>
        </w:rPr>
      </w:pPr>
      <w:r>
        <w:rPr>
          <w:rFonts w:eastAsia="Calibri" w:cs="MS Mincho" w:hint="eastAsia"/>
          <w:sz w:val="24"/>
          <w:szCs w:val="24"/>
        </w:rPr>
        <w:t>参考文献：王国平、唐力行主编</w:t>
      </w:r>
      <w:r>
        <w:rPr>
          <w:rFonts w:eastAsia="Calibri" w:cs="MS Mincho" w:hint="eastAsia"/>
          <w:sz w:val="24"/>
          <w:szCs w:val="24"/>
        </w:rPr>
        <w:t>.</w:t>
      </w:r>
      <w:r>
        <w:rPr>
          <w:rFonts w:eastAsia="Calibri" w:cs="MS Mincho" w:hint="eastAsia"/>
          <w:sz w:val="24"/>
          <w:szCs w:val="24"/>
        </w:rPr>
        <w:t>明清以来社会史碑刻集</w:t>
      </w:r>
      <w:r>
        <w:rPr>
          <w:rFonts w:eastAsia="Calibri" w:cs="MS Mincho" w:hint="eastAsia"/>
          <w:sz w:val="24"/>
          <w:szCs w:val="24"/>
        </w:rPr>
        <w:t>[M],</w:t>
      </w:r>
      <w:r>
        <w:rPr>
          <w:rFonts w:eastAsia="Calibri" w:cs="MS Mincho" w:hint="eastAsia"/>
          <w:sz w:val="24"/>
          <w:szCs w:val="24"/>
        </w:rPr>
        <w:t>苏州大学出版社</w:t>
      </w:r>
      <w:r>
        <w:rPr>
          <w:rFonts w:eastAsia="Calibri" w:cs="MS Mincho" w:hint="eastAsia"/>
          <w:sz w:val="24"/>
          <w:szCs w:val="24"/>
        </w:rPr>
        <w:t>,1998</w:t>
      </w:r>
      <w:r>
        <w:rPr>
          <w:rFonts w:eastAsia="Calibri" w:cs="MS Mincho" w:hint="eastAsia"/>
          <w:sz w:val="24"/>
          <w:szCs w:val="24"/>
        </w:rPr>
        <w:t>年版</w:t>
      </w:r>
      <w:r>
        <w:rPr>
          <w:rFonts w:eastAsia="Calibri" w:cs="MS Mincho" w:hint="eastAsia"/>
          <w:sz w:val="24"/>
          <w:szCs w:val="24"/>
        </w:rPr>
        <w:t>.</w:t>
      </w:r>
    </w:p>
    <w:p w:rsidR="00220158" w:rsidRDefault="00220158">
      <w:pPr>
        <w:spacing w:line="480" w:lineRule="auto"/>
        <w:rPr>
          <w:rFonts w:eastAsia="Calibri" w:cs="MS Mincho"/>
          <w:sz w:val="24"/>
          <w:szCs w:val="24"/>
        </w:rPr>
      </w:pPr>
    </w:p>
    <w:p w:rsidR="00220158" w:rsidRDefault="00220158">
      <w:pPr>
        <w:spacing w:line="480" w:lineRule="auto"/>
        <w:rPr>
          <w:rFonts w:eastAsia="Calibri" w:cs="MS Mincho"/>
          <w:sz w:val="24"/>
          <w:szCs w:val="24"/>
        </w:rPr>
      </w:pPr>
    </w:p>
    <w:p w:rsidR="00220158" w:rsidRDefault="00220158">
      <w:pPr>
        <w:spacing w:line="480" w:lineRule="auto"/>
        <w:rPr>
          <w:rFonts w:eastAsia="Calibri" w:cs="MS Mincho"/>
          <w:sz w:val="24"/>
          <w:szCs w:val="24"/>
        </w:rPr>
      </w:pPr>
    </w:p>
    <w:p w:rsidR="00220158" w:rsidRDefault="0070573E">
      <w:pPr>
        <w:spacing w:line="480" w:lineRule="auto"/>
        <w:rPr>
          <w:rFonts w:eastAsia="Calibri" w:cs="MS Mincho"/>
          <w:sz w:val="24"/>
          <w:szCs w:val="24"/>
        </w:rPr>
      </w:pPr>
      <w:r>
        <w:rPr>
          <w:rFonts w:eastAsia="Calibri" w:cs="MS Mincho" w:hint="eastAsia"/>
          <w:sz w:val="24"/>
          <w:szCs w:val="24"/>
        </w:rPr>
        <w:t>Key words:</w:t>
      </w:r>
      <w:r>
        <w:rPr>
          <w:rFonts w:eastAsia="Calibri" w:cs="MS Mincho"/>
          <w:sz w:val="24"/>
          <w:szCs w:val="24"/>
        </w:rPr>
        <w:t>The Ming and Qing Dynasties; Suzhou society; Good book; Moralty</w:t>
      </w:r>
    </w:p>
    <w:p w:rsidR="00220158" w:rsidRDefault="00220158">
      <w:pPr>
        <w:spacing w:line="480" w:lineRule="auto"/>
        <w:rPr>
          <w:rFonts w:eastAsia="Calibri" w:cs="MS Mincho"/>
          <w:sz w:val="24"/>
          <w:szCs w:val="24"/>
        </w:rPr>
      </w:pPr>
    </w:p>
    <w:p w:rsidR="00220158" w:rsidRDefault="0070573E">
      <w:pPr>
        <w:spacing w:line="480" w:lineRule="auto"/>
        <w:ind w:firstLine="480"/>
        <w:rPr>
          <w:rFonts w:eastAsia="Calibri"/>
          <w:noProof/>
          <w:sz w:val="24"/>
          <w:szCs w:val="24"/>
        </w:rPr>
      </w:pPr>
      <w:r>
        <w:rPr>
          <w:rFonts w:eastAsia="Calibri"/>
          <w:noProof/>
          <w:sz w:val="24"/>
          <w:szCs w:val="24"/>
        </w:rPr>
        <w:t xml:space="preserve">Professor Wang and Tang write &lt;The social history since Ming and qing </w:t>
      </w:r>
      <w:r>
        <w:rPr>
          <w:rFonts w:eastAsia="Calibri"/>
          <w:noProof/>
          <w:sz w:val="24"/>
          <w:szCs w:val="24"/>
        </w:rPr>
        <w:t>dynasty suzhou stone inscription&gt;.The stone inscription set is published the first domestic social history inscriptions set, rich in content, reflect the Ming and qing dynasties all aspects of social life in suzhou. Among them, 404, 404, 405, 405, 407, 408</w:t>
      </w:r>
      <w:r>
        <w:rPr>
          <w:rFonts w:eastAsia="Calibri"/>
          <w:noProof/>
          <w:sz w:val="24"/>
          <w:szCs w:val="24"/>
        </w:rPr>
        <w:t xml:space="preserve"> and so on six inscription on the stone, is a good book of the year, A good book exert moral reasoning function.Somebody will engrave into the inscriptions, a good book to guide social moral direction. This article take a snapshot of the Ming and qing dyna</w:t>
      </w:r>
      <w:r>
        <w:rPr>
          <w:rFonts w:eastAsia="Calibri"/>
          <w:noProof/>
          <w:sz w:val="24"/>
          <w:szCs w:val="24"/>
        </w:rPr>
        <w:t>sties and orientation of the social moral guide in suzhou.</w:t>
      </w:r>
    </w:p>
    <w:p w:rsidR="00220158" w:rsidRDefault="00220158">
      <w:pPr>
        <w:spacing w:line="480" w:lineRule="auto"/>
        <w:rPr>
          <w:rFonts w:eastAsia="Calibri" w:cs="MS Mincho"/>
          <w:sz w:val="24"/>
          <w:szCs w:val="24"/>
        </w:rPr>
      </w:pPr>
    </w:p>
    <w:p w:rsidR="00220158" w:rsidRDefault="00220158">
      <w:pPr>
        <w:spacing w:line="480" w:lineRule="auto"/>
        <w:rPr>
          <w:rFonts w:eastAsia="Calibri" w:cs="MS Mincho"/>
          <w:sz w:val="24"/>
          <w:szCs w:val="24"/>
        </w:rPr>
      </w:pPr>
    </w:p>
    <w:p w:rsidR="00220158" w:rsidRDefault="00220158">
      <w:pPr>
        <w:spacing w:line="480" w:lineRule="auto"/>
        <w:rPr>
          <w:rFonts w:eastAsia="Calibri" w:cs="MS Mincho"/>
          <w:sz w:val="24"/>
          <w:szCs w:val="24"/>
        </w:rPr>
      </w:pPr>
    </w:p>
    <w:p w:rsidR="00220158" w:rsidRDefault="00220158">
      <w:pPr>
        <w:spacing w:line="480" w:lineRule="auto"/>
        <w:rPr>
          <w:rFonts w:eastAsia="Calibri" w:cs="MS Mincho"/>
          <w:sz w:val="24"/>
          <w:szCs w:val="24"/>
        </w:rPr>
      </w:pPr>
    </w:p>
    <w:p w:rsidR="00220158" w:rsidRDefault="00220158">
      <w:pPr>
        <w:spacing w:line="480" w:lineRule="auto"/>
        <w:rPr>
          <w:rFonts w:eastAsia="Calibri" w:cs="MS Mincho"/>
          <w:sz w:val="24"/>
          <w:szCs w:val="24"/>
        </w:rPr>
      </w:pPr>
    </w:p>
    <w:p w:rsidR="00220158" w:rsidRDefault="00220158">
      <w:pPr>
        <w:spacing w:line="480" w:lineRule="auto"/>
        <w:rPr>
          <w:rFonts w:eastAsia="Calibri" w:cs="MS Mincho"/>
          <w:sz w:val="24"/>
          <w:szCs w:val="24"/>
        </w:rPr>
      </w:pPr>
    </w:p>
    <w:p w:rsidR="00220158" w:rsidRDefault="00220158">
      <w:pPr>
        <w:spacing w:line="480" w:lineRule="auto"/>
        <w:rPr>
          <w:rFonts w:eastAsia="Calibri" w:cs="MS Mincho"/>
          <w:sz w:val="24"/>
          <w:szCs w:val="24"/>
        </w:rPr>
      </w:pPr>
    </w:p>
    <w:p w:rsidR="00220158" w:rsidRDefault="00220158">
      <w:pPr>
        <w:spacing w:line="480" w:lineRule="auto"/>
        <w:rPr>
          <w:rFonts w:eastAsia="Calibri" w:cs="MS Mincho"/>
          <w:sz w:val="24"/>
          <w:szCs w:val="24"/>
        </w:rPr>
      </w:pPr>
    </w:p>
    <w:p w:rsidR="00220158" w:rsidRDefault="00220158">
      <w:pPr>
        <w:spacing w:line="480" w:lineRule="auto"/>
        <w:rPr>
          <w:rFonts w:eastAsia="Calibri" w:cs="MS Mincho"/>
          <w:sz w:val="24"/>
          <w:szCs w:val="24"/>
        </w:rPr>
      </w:pPr>
    </w:p>
    <w:p w:rsidR="00220158" w:rsidRDefault="00220158">
      <w:pPr>
        <w:spacing w:line="480" w:lineRule="auto"/>
        <w:rPr>
          <w:rFonts w:eastAsia="Calibri" w:cs="MS Mincho"/>
          <w:sz w:val="24"/>
          <w:szCs w:val="24"/>
        </w:rPr>
      </w:pPr>
    </w:p>
    <w:p w:rsidR="00220158" w:rsidRDefault="00220158">
      <w:pPr>
        <w:spacing w:line="480" w:lineRule="auto"/>
        <w:rPr>
          <w:rFonts w:eastAsia="Calibri" w:cs="MS Mincho"/>
          <w:sz w:val="24"/>
          <w:szCs w:val="24"/>
        </w:rPr>
      </w:pPr>
    </w:p>
    <w:p w:rsidR="00220158" w:rsidRDefault="00220158">
      <w:pPr>
        <w:spacing w:line="480" w:lineRule="auto"/>
        <w:rPr>
          <w:rFonts w:eastAsia="Calibri" w:cs="MS Mincho"/>
          <w:sz w:val="24"/>
          <w:szCs w:val="24"/>
        </w:rPr>
      </w:pPr>
    </w:p>
    <w:p w:rsidR="00220158" w:rsidRDefault="00220158">
      <w:pPr>
        <w:spacing w:line="480" w:lineRule="auto"/>
        <w:rPr>
          <w:rFonts w:eastAsia="Calibri" w:cs="MS Mincho"/>
          <w:sz w:val="24"/>
          <w:szCs w:val="24"/>
        </w:rPr>
      </w:pPr>
    </w:p>
    <w:p w:rsidR="00220158" w:rsidRDefault="0070573E">
      <w:pPr>
        <w:spacing w:line="360" w:lineRule="auto"/>
        <w:ind w:firstLine="480"/>
        <w:rPr>
          <w:sz w:val="24"/>
        </w:rPr>
      </w:pPr>
      <w:r>
        <w:rPr>
          <w:sz w:val="24"/>
        </w:rPr>
        <w:t>﹝作者简介﹞</w:t>
      </w:r>
      <w:r>
        <w:rPr>
          <w:sz w:val="24"/>
        </w:rPr>
        <w:t xml:space="preserve"> </w:t>
      </w:r>
      <w:r>
        <w:rPr>
          <w:sz w:val="24"/>
        </w:rPr>
        <w:t>符晓林（</w:t>
      </w:r>
      <w:r>
        <w:rPr>
          <w:sz w:val="24"/>
        </w:rPr>
        <w:t>1991—</w:t>
      </w:r>
      <w:r>
        <w:rPr>
          <w:sz w:val="24"/>
        </w:rPr>
        <w:t>），女，汉族，海南海口，江西师范大学历史文化与旅游学院，在读研究生，研究方向：中国近现代史，研究成果：学术论文两篇。联系地址：江西省南昌市高新技术开发区紫阳大道</w:t>
      </w:r>
      <w:r>
        <w:rPr>
          <w:sz w:val="24"/>
        </w:rPr>
        <w:t>99</w:t>
      </w:r>
      <w:r>
        <w:rPr>
          <w:sz w:val="24"/>
        </w:rPr>
        <w:t>号江西师范大学历史文化与旅游学院</w:t>
      </w:r>
      <w:r>
        <w:rPr>
          <w:sz w:val="24"/>
        </w:rPr>
        <w:t>。邮编：</w:t>
      </w:r>
      <w:r>
        <w:rPr>
          <w:sz w:val="24"/>
        </w:rPr>
        <w:t>330022</w:t>
      </w:r>
      <w:r>
        <w:rPr>
          <w:sz w:val="24"/>
        </w:rPr>
        <w:t>。</w:t>
      </w:r>
    </w:p>
    <w:p w:rsidR="00220158" w:rsidRDefault="00220158">
      <w:pPr>
        <w:spacing w:line="480" w:lineRule="auto"/>
        <w:rPr>
          <w:rFonts w:eastAsia="Calibri" w:cs="MS Mincho"/>
          <w:sz w:val="24"/>
          <w:szCs w:val="24"/>
        </w:rPr>
      </w:pPr>
    </w:p>
    <w:p w:rsidR="00220158" w:rsidRDefault="00220158">
      <w:pPr>
        <w:spacing w:line="480" w:lineRule="auto"/>
        <w:ind w:firstLine="480"/>
        <w:rPr>
          <w:rFonts w:eastAsia="Calibri" w:cs="MS Mincho"/>
          <w:sz w:val="24"/>
          <w:szCs w:val="24"/>
        </w:rPr>
      </w:pPr>
    </w:p>
    <w:sectPr w:rsidR="00220158" w:rsidSect="00220158">
      <w:headerReference w:type="default" r:id="rId6"/>
      <w:footerReference w:type="default" r:id="rId7"/>
      <w:endnotePr>
        <w:numFmt w:val="decimal"/>
      </w:endnotePr>
      <w:pgSz w:w="11906" w:h="16838"/>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73E" w:rsidRDefault="0070573E" w:rsidP="00220158">
      <w:r>
        <w:separator/>
      </w:r>
    </w:p>
  </w:endnote>
  <w:endnote w:type="continuationSeparator" w:id="0">
    <w:p w:rsidR="0070573E" w:rsidRDefault="0070573E" w:rsidP="002201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58" w:rsidRDefault="0022015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73E" w:rsidRDefault="0070573E" w:rsidP="00220158">
      <w:r>
        <w:separator/>
      </w:r>
    </w:p>
  </w:footnote>
  <w:footnote w:type="continuationSeparator" w:id="0">
    <w:p w:rsidR="0070573E" w:rsidRDefault="0070573E" w:rsidP="002201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58" w:rsidRDefault="00220158">
    <w:pPr>
      <w:pBdr>
        <w:top w:val="none" w:sz="0" w:space="3" w:color="000000"/>
        <w:left w:val="none" w:sz="0" w:space="3" w:color="000000"/>
        <w:bottom w:val="none" w:sz="0" w:space="0" w:color="000000"/>
        <w:right w:val="none" w:sz="0" w:space="3" w:color="000000"/>
        <w:between w:val="none" w:sz="0" w:space="0" w:color="000000"/>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220158"/>
    <w:rsid w:val="000B251D"/>
    <w:rsid w:val="00220158"/>
    <w:rsid w:val="007057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2201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220158"/>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220158"/>
    <w:pPr>
      <w:tabs>
        <w:tab w:val="center" w:pos="4153"/>
        <w:tab w:val="right" w:pos="8306"/>
      </w:tabs>
      <w:jc w:val="left"/>
    </w:pPr>
    <w:rPr>
      <w:sz w:val="18"/>
      <w:szCs w:val="18"/>
    </w:rPr>
  </w:style>
  <w:style w:type="paragraph" w:customStyle="1" w:styleId="1">
    <w:name w:val="批注文字1"/>
    <w:qFormat/>
    <w:rsid w:val="00220158"/>
    <w:pPr>
      <w:jc w:val="left"/>
    </w:pPr>
  </w:style>
  <w:style w:type="paragraph" w:customStyle="1" w:styleId="10">
    <w:name w:val="批注主题1"/>
    <w:basedOn w:val="1"/>
    <w:next w:val="1"/>
    <w:qFormat/>
    <w:rsid w:val="00220158"/>
    <w:rPr>
      <w:b/>
      <w:bCs/>
    </w:rPr>
  </w:style>
  <w:style w:type="paragraph" w:styleId="a3">
    <w:name w:val="Balloon Text"/>
    <w:qFormat/>
    <w:rsid w:val="00220158"/>
    <w:rPr>
      <w:sz w:val="18"/>
      <w:szCs w:val="18"/>
    </w:rPr>
  </w:style>
  <w:style w:type="paragraph" w:customStyle="1" w:styleId="EndnoteText">
    <w:name w:val="Endnote Text"/>
    <w:qFormat/>
    <w:rsid w:val="00220158"/>
    <w:pPr>
      <w:jc w:val="left"/>
    </w:pPr>
    <w:rPr>
      <w:rFonts w:ascii="Times New Roman" w:hAnsi="Times New Roman"/>
      <w:szCs w:val="24"/>
    </w:rPr>
  </w:style>
  <w:style w:type="character" w:customStyle="1" w:styleId="Char">
    <w:name w:val="页眉 Char"/>
    <w:rsid w:val="00220158"/>
    <w:rPr>
      <w:rFonts w:cs="Times New Roman"/>
      <w:sz w:val="18"/>
      <w:szCs w:val="18"/>
    </w:rPr>
  </w:style>
  <w:style w:type="character" w:customStyle="1" w:styleId="Char0">
    <w:name w:val="页脚 Char"/>
    <w:rsid w:val="00220158"/>
    <w:rPr>
      <w:rFonts w:cs="Times New Roman"/>
      <w:sz w:val="18"/>
      <w:szCs w:val="18"/>
    </w:rPr>
  </w:style>
  <w:style w:type="character" w:customStyle="1" w:styleId="11">
    <w:name w:val="批注引用1"/>
    <w:rsid w:val="00220158"/>
    <w:rPr>
      <w:rFonts w:cs="Times New Roman"/>
      <w:sz w:val="21"/>
      <w:szCs w:val="21"/>
    </w:rPr>
  </w:style>
  <w:style w:type="character" w:customStyle="1" w:styleId="Char1">
    <w:name w:val="批注文字 Char"/>
    <w:rsid w:val="00220158"/>
    <w:rPr>
      <w:rFonts w:cs="Times New Roman"/>
    </w:rPr>
  </w:style>
  <w:style w:type="character" w:customStyle="1" w:styleId="Char2">
    <w:name w:val="批注主题 Char"/>
    <w:basedOn w:val="Char1"/>
    <w:rsid w:val="00220158"/>
    <w:rPr>
      <w:b/>
      <w:bCs/>
    </w:rPr>
  </w:style>
  <w:style w:type="character" w:customStyle="1" w:styleId="Char3">
    <w:name w:val="批注框文本 Char"/>
    <w:rsid w:val="00220158"/>
    <w:rPr>
      <w:rFonts w:cs="Times New Roman"/>
      <w:sz w:val="18"/>
      <w:szCs w:val="18"/>
    </w:rPr>
  </w:style>
  <w:style w:type="character" w:customStyle="1" w:styleId="Char4">
    <w:name w:val="尾注文本 Char"/>
    <w:rsid w:val="00220158"/>
    <w:rPr>
      <w:rFonts w:ascii="Times New Roman" w:hAnsi="Times New Roman"/>
      <w:kern w:val="1"/>
      <w:sz w:val="21"/>
      <w:szCs w:val="24"/>
    </w:rPr>
  </w:style>
  <w:style w:type="character" w:styleId="a4">
    <w:name w:val="Hyperlink"/>
    <w:rsid w:val="002201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宋体"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annotationtext" w:customStyle="1">
    <w:name w:val="annotation text"/>
    <w:qFormat/>
    <w:basedOn w:val=""/>
    <w:pPr>
      <w:spacing/>
      <w:jc w:val="left"/>
    </w:pPr>
  </w:style>
  <w:style w:type="paragraph" w:styleId="annotationsubject" w:customStyle="1">
    <w:name w:val="annotation subject"/>
    <w:qFormat/>
    <w:basedOn w:val="annotationtext"/>
    <w:next w:val="annotationtext"/>
    <w:rPr>
      <w:b/>
      <w:bCs/>
    </w:rPr>
  </w:style>
  <w:style w:type="paragraph" w:styleId="">
    <w:name w:val="Balloon Text"/>
    <w:qFormat/>
    <w:basedOn w:val=""/>
    <w:rPr>
      <w:sz w:val="18"/>
      <w:szCs w:val="18"/>
    </w:rPr>
  </w:style>
  <w:style w:type="paragraph" w:styleId="">
    <w:name w:val="Endnote Text"/>
    <w:qFormat/>
    <w:basedOn w:val=""/>
    <w:pPr>
      <w:spacing/>
      <w:jc w:val="left"/>
    </w:pPr>
    <w:rPr>
      <w:rFonts w:ascii="Times New Roman" w:hAnsi="Times New Roman"/>
      <w:szCs w:val="24"/>
    </w:rPr>
  </w:style>
  <w:style w:type="character" w:styleId="" w:default="1">
    <w:name w:val="Default Paragraph Font"/>
    <w:rPr>
      <w:kern w:val="0"/>
      <w:sz w:val="20"/>
      <w:szCs w:val="20"/>
    </w:rPr>
  </w:style>
  <w:style w:type="character" w:styleId="Char" w:customStyle="1">
    <w:name w:val="页眉 Char"/>
    <w:basedOn w:val=""/>
    <w:rPr>
      <w:rFonts w:cs="Times New Roman"/>
      <w:sz w:val="18"/>
      <w:szCs w:val="18"/>
    </w:rPr>
  </w:style>
  <w:style w:type="character" w:styleId="Char" w:customStyle="1">
    <w:name w:val="页脚 Char"/>
    <w:basedOn w:val=""/>
    <w:rPr>
      <w:rFonts w:cs="Times New Roman"/>
      <w:sz w:val="18"/>
      <w:szCs w:val="18"/>
    </w:rPr>
  </w:style>
  <w:style w:type="character" w:styleId="annotationreference" w:customStyle="1">
    <w:name w:val="annotation reference"/>
    <w:basedOn w:val=""/>
    <w:rPr>
      <w:rFonts w:cs="Times New Roman"/>
      <w:sz w:val="21"/>
      <w:szCs w:val="21"/>
    </w:rPr>
  </w:style>
  <w:style w:type="character" w:styleId="Char" w:customStyle="1">
    <w:name w:val="批注文字 Char"/>
    <w:basedOn w:val=""/>
    <w:rPr>
      <w:rFonts w:cs="Times New Roman"/>
    </w:rPr>
  </w:style>
  <w:style w:type="character" w:styleId="Char" w:customStyle="1">
    <w:name w:val="批注主题 Char"/>
    <w:basedOn w:val="Char"/>
    <w:rPr>
      <w:b/>
      <w:bCs/>
    </w:rPr>
  </w:style>
  <w:style w:type="character" w:styleId="Char" w:customStyle="1">
    <w:name w:val="批注框文本 Char"/>
    <w:basedOn w:val=""/>
    <w:rPr>
      <w:rFonts w:cs="Times New Roman"/>
      <w:sz w:val="18"/>
      <w:szCs w:val="18"/>
    </w:rPr>
  </w:style>
  <w:style w:type="character" w:styleId="Char" w:customStyle="1">
    <w:name w:val="尾注文本 Char"/>
    <w:basedOn w:val=""/>
    <w:rPr>
      <w:rFonts w:ascii="Times New Roman" w:hAnsi="Times New Roman"/>
      <w:kern w:val="1"/>
      <w:sz w:val="21"/>
      <w:szCs w:val="24"/>
    </w:rPr>
  </w:style>
  <w:style w:type="character" w:styleId="">
    <w:name w:val="Hyperlink"/>
    <w:basedOn w:val=""/>
    <w:rPr>
      <w:color w:val="0000ff"/>
      <w:u w:color="auto"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xbany</cp:lastModifiedBy>
  <cp:revision>2</cp:revision>
  <dcterms:created xsi:type="dcterms:W3CDTF">2017-10-21T03:36:00Z</dcterms:created>
  <dcterms:modified xsi:type="dcterms:W3CDTF">2017-10-21T03:36:00Z</dcterms:modified>
</cp:coreProperties>
</file>