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C6" w:rsidRDefault="00E51D61">
      <w:pPr>
        <w:jc w:val="center"/>
        <w:rPr>
          <w:rFonts w:ascii="黑体" w:eastAsia="黑体" w:hAnsi="黑体"/>
          <w:b/>
          <w:bCs/>
          <w:sz w:val="44"/>
          <w:szCs w:val="44"/>
        </w:rPr>
      </w:pPr>
      <w:r>
        <w:rPr>
          <w:rFonts w:ascii="黑体" w:eastAsia="黑体" w:hAnsi="黑体" w:hint="eastAsia"/>
          <w:b/>
          <w:bCs/>
          <w:sz w:val="44"/>
          <w:szCs w:val="44"/>
        </w:rPr>
        <w:t>辩诉交易体制视角下的认罪认罚从宽制度健全与完善研究</w:t>
      </w:r>
    </w:p>
    <w:p w:rsidR="00F773C6" w:rsidRDefault="00E51D61">
      <w:pPr>
        <w:rPr>
          <w:rFonts w:ascii="楷体_GB2312" w:eastAsia="楷体_GB2312" w:hAnsi="楷体_GB2312" w:cs="宋体"/>
          <w:sz w:val="32"/>
          <w:szCs w:val="32"/>
        </w:rPr>
      </w:pPr>
      <w:r>
        <w:rPr>
          <w:rFonts w:ascii="黑体" w:eastAsia="黑体" w:hAnsi="黑体" w:cs="宋体" w:hint="eastAsia"/>
          <w:b/>
          <w:sz w:val="44"/>
          <w:szCs w:val="44"/>
        </w:rPr>
        <w:t xml:space="preserve">             </w:t>
      </w:r>
      <w:r>
        <w:rPr>
          <w:rFonts w:ascii="楷体_GB2312" w:eastAsia="楷体_GB2312" w:hAnsi="楷体_GB2312" w:cs="宋体" w:hint="eastAsia"/>
          <w:sz w:val="32"/>
          <w:szCs w:val="32"/>
        </w:rPr>
        <w:t>王统</w:t>
      </w:r>
      <w:r>
        <w:rPr>
          <w:rFonts w:ascii="楷体_GB2312" w:eastAsia="楷体_GB2312" w:hAnsi="楷体_GB2312" w:cs="宋体" w:hint="eastAsia"/>
          <w:sz w:val="32"/>
          <w:szCs w:val="32"/>
        </w:rPr>
        <w:t xml:space="preserve"> </w:t>
      </w:r>
      <w:r>
        <w:rPr>
          <w:rFonts w:ascii="楷体_GB2312" w:eastAsia="楷体_GB2312" w:hAnsi="楷体_GB2312" w:cs="宋体" w:hint="eastAsia"/>
          <w:sz w:val="32"/>
          <w:szCs w:val="32"/>
        </w:rPr>
        <w:t>山东大学法学院</w:t>
      </w:r>
      <w:r>
        <w:rPr>
          <w:rFonts w:ascii="楷体_GB2312" w:eastAsia="楷体_GB2312" w:hAnsi="楷体_GB2312" w:cs="宋体" w:hint="eastAsia"/>
          <w:sz w:val="32"/>
          <w:szCs w:val="32"/>
        </w:rPr>
        <w:t xml:space="preserve"> </w:t>
      </w:r>
      <w:r>
        <w:rPr>
          <w:rFonts w:ascii="楷体_GB2312" w:eastAsia="楷体_GB2312" w:hAnsi="楷体_GB2312" w:cs="宋体" w:hint="eastAsia"/>
          <w:sz w:val="32"/>
          <w:szCs w:val="32"/>
        </w:rPr>
        <w:t>山东济南</w:t>
      </w:r>
    </w:p>
    <w:p w:rsidR="00F773C6" w:rsidRDefault="00E51D61">
      <w:pPr>
        <w:ind w:firstLine="413"/>
        <w:rPr>
          <w:rFonts w:ascii="楷体_GB2312" w:eastAsia="楷体_GB2312" w:hAnsi="楷体_GB2312" w:cs="宋体"/>
          <w:szCs w:val="21"/>
        </w:rPr>
      </w:pPr>
      <w:r>
        <w:rPr>
          <w:rFonts w:ascii="楷体_GB2312" w:eastAsia="楷体_GB2312" w:hAnsi="楷体_GB2312" w:cs="宋体" w:hint="eastAsia"/>
          <w:b/>
          <w:szCs w:val="21"/>
        </w:rPr>
        <w:t>摘要：</w:t>
      </w:r>
      <w:r>
        <w:rPr>
          <w:rFonts w:ascii="楷体_GB2312" w:eastAsia="楷体_GB2312" w:hAnsi="楷体_GB2312" w:cs="宋体" w:hint="eastAsia"/>
          <w:szCs w:val="21"/>
        </w:rPr>
        <w:t>刑事犯罪的发展与司法资源的相对稀缺是每个社会在其发展过程中难以回避的矛盾冲突。认罪认罚从宽制度作为一种建立在侦控机关指控被告人有罪基础上新生的制度，它一出生便在性质上兼具了实体与程序双重属性。我国认罪认罚从宽制度相较于西方盛行的辩诉交易制度，两者既有共通之处也有明显的区别。本文主要研究基于辩诉交易体制，被告人认罪认罚从宽制度的健全与完善。</w:t>
      </w:r>
    </w:p>
    <w:p w:rsidR="00F773C6" w:rsidRDefault="00E51D61">
      <w:pPr>
        <w:ind w:firstLine="420"/>
        <w:rPr>
          <w:rFonts w:ascii="楷体_GB2312" w:eastAsia="楷体_GB2312" w:hAnsi="楷体_GB2312" w:cs="宋体"/>
          <w:szCs w:val="21"/>
        </w:rPr>
      </w:pPr>
      <w:r>
        <w:rPr>
          <w:rFonts w:ascii="楷体_GB2312" w:eastAsia="楷体_GB2312" w:hAnsi="楷体_GB2312" w:cs="宋体" w:hint="eastAsia"/>
          <w:b/>
          <w:szCs w:val="21"/>
        </w:rPr>
        <w:t>关键词：</w:t>
      </w:r>
      <w:r>
        <w:rPr>
          <w:rFonts w:ascii="楷体_GB2312" w:eastAsia="楷体_GB2312" w:hAnsi="楷体_GB2312" w:cs="宋体" w:hint="eastAsia"/>
          <w:szCs w:val="21"/>
        </w:rPr>
        <w:t>辩诉交易体制；被告人；认罪认罚从宽制度；健全与完善</w:t>
      </w:r>
    </w:p>
    <w:p w:rsidR="00F773C6" w:rsidRDefault="00E51D61">
      <w:pPr>
        <w:ind w:firstLine="420"/>
        <w:rPr>
          <w:rFonts w:ascii="宋体" w:hAnsi="宋体" w:cs="宋体"/>
          <w:szCs w:val="21"/>
        </w:rPr>
      </w:pPr>
      <w:r>
        <w:rPr>
          <w:rFonts w:ascii="宋体" w:hAnsi="宋体" w:cs="宋体" w:hint="eastAsia"/>
          <w:szCs w:val="21"/>
        </w:rPr>
        <w:t>作为一种建立在侦控机关指控被告人有罪基础上的制度延伸，认罪认罚制度不是脱离于刑事实体法和程序法规范的一项诉讼制</w:t>
      </w:r>
      <w:r>
        <w:rPr>
          <w:rFonts w:ascii="宋体" w:hAnsi="宋体" w:cs="宋体" w:hint="eastAsia"/>
          <w:szCs w:val="21"/>
        </w:rPr>
        <w:t>度。</w:t>
      </w:r>
      <w:r>
        <w:rPr>
          <w:rFonts w:ascii="宋体" w:hAnsi="宋体" w:cs="宋体" w:hint="eastAsia"/>
          <w:szCs w:val="21"/>
        </w:rPr>
        <w:footnoteReference w:id="1"/>
      </w:r>
      <w:r>
        <w:rPr>
          <w:rFonts w:ascii="宋体" w:hAnsi="宋体" w:cs="宋体" w:hint="eastAsia"/>
          <w:szCs w:val="21"/>
        </w:rPr>
        <w:t>近年来，在辩诉交易体制的影响下，我国的认罪认罚从宽制度也进行了相应的改革。</w:t>
      </w:r>
      <w:r>
        <w:rPr>
          <w:rFonts w:ascii="宋体" w:hAnsi="宋体" w:cs="宋体" w:hint="eastAsia"/>
          <w:szCs w:val="21"/>
        </w:rPr>
        <w:t>2014</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23</w:t>
      </w:r>
      <w:r>
        <w:rPr>
          <w:rFonts w:ascii="宋体" w:hAnsi="宋体" w:cs="宋体" w:hint="eastAsia"/>
          <w:szCs w:val="21"/>
        </w:rPr>
        <w:t>日，党的十八届四中全会通过了《中共中央关于全面推进依法治国若干重大问题的决定》，该决定中明确提出了“完善刑事诉讼中认罪认罚从宽制度”。据此，</w:t>
      </w:r>
      <w:r>
        <w:rPr>
          <w:rFonts w:ascii="宋体" w:hAnsi="宋体" w:cs="宋体" w:hint="eastAsia"/>
          <w:szCs w:val="21"/>
        </w:rPr>
        <w:t>2015</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26</w:t>
      </w:r>
      <w:r>
        <w:rPr>
          <w:rFonts w:ascii="宋体" w:hAnsi="宋体" w:cs="宋体" w:hint="eastAsia"/>
          <w:szCs w:val="21"/>
        </w:rPr>
        <w:t>日最高人民法院正式发布的《人民法院第四个五年改革纲要（</w:t>
      </w:r>
      <w:r>
        <w:rPr>
          <w:rFonts w:ascii="宋体" w:hAnsi="宋体" w:cs="宋体" w:hint="eastAsia"/>
          <w:szCs w:val="21"/>
        </w:rPr>
        <w:t>2014-2018</w:t>
      </w:r>
      <w:r>
        <w:rPr>
          <w:rFonts w:ascii="宋体" w:hAnsi="宋体" w:cs="宋体" w:hint="eastAsia"/>
          <w:szCs w:val="21"/>
        </w:rPr>
        <w:t>）》中第</w:t>
      </w:r>
      <w:r>
        <w:rPr>
          <w:rFonts w:ascii="宋体" w:hAnsi="宋体" w:cs="宋体" w:hint="eastAsia"/>
          <w:szCs w:val="21"/>
        </w:rPr>
        <w:t>13</w:t>
      </w:r>
      <w:r>
        <w:rPr>
          <w:rFonts w:ascii="宋体" w:hAnsi="宋体" w:cs="宋体" w:hint="eastAsia"/>
          <w:szCs w:val="21"/>
        </w:rPr>
        <w:t>项要求：“完善刑事诉讼中认罪认罚从宽制度。明确被告人自愿认罪、自愿接受处罚、积极退赃退赔案件的诉讼程序、处罚标准和处理方式，构建被告人认罪认罚和不认罪案件的分流机制，优化配置司</w:t>
      </w:r>
      <w:r>
        <w:rPr>
          <w:rFonts w:ascii="宋体" w:hAnsi="宋体" w:cs="宋体" w:hint="eastAsia"/>
          <w:szCs w:val="21"/>
        </w:rPr>
        <w:t>法资源”。</w:t>
      </w:r>
      <w:r>
        <w:rPr>
          <w:rFonts w:ascii="宋体" w:hAnsi="宋体" w:cs="宋体" w:hint="eastAsia"/>
          <w:szCs w:val="21"/>
        </w:rPr>
        <w:footnoteReference w:id="2"/>
      </w:r>
    </w:p>
    <w:p w:rsidR="00F773C6" w:rsidRDefault="00E51D61">
      <w:pPr>
        <w:ind w:firstLine="420"/>
        <w:rPr>
          <w:rFonts w:ascii="宋体" w:hAnsi="宋体" w:cs="宋体"/>
          <w:szCs w:val="21"/>
        </w:rPr>
      </w:pPr>
      <w:r>
        <w:rPr>
          <w:rFonts w:ascii="宋体" w:hAnsi="宋体" w:cs="宋体" w:hint="eastAsia"/>
          <w:szCs w:val="21"/>
        </w:rPr>
        <w:t>虽然长期以来对这一制度都有所争议，但在美国，有大量刑事案件是通过辩诉交易结案的。但是在我国的刑事诉讼法中，并没有对认罪协商、辩诉交易加以规定。但辩诉交易以其自身高效快捷等特点对我国新生的认罪认罚制度有重大的借鉴意义。鉴于此，笔者思考从辩诉交易体制视角下着笔，通过对比辩诉交易和当前最能体现“认罪协商”精神的三大代表性制度，探究“中国化”的认罪认罚从宽制度的健全与完善。</w:t>
      </w:r>
    </w:p>
    <w:p w:rsidR="00F773C6" w:rsidRDefault="00E51D61">
      <w:pPr>
        <w:rPr>
          <w:rFonts w:ascii="宋体" w:hAnsi="宋体" w:cs="宋体"/>
          <w:b/>
          <w:szCs w:val="21"/>
        </w:rPr>
      </w:pPr>
      <w:r>
        <w:rPr>
          <w:rFonts w:ascii="宋体" w:hAnsi="宋体" w:cs="宋体" w:hint="eastAsia"/>
          <w:b/>
          <w:szCs w:val="21"/>
        </w:rPr>
        <w:t>一、辩诉交易制度与认罪认罚制度的概述</w:t>
      </w:r>
    </w:p>
    <w:p w:rsidR="00F773C6" w:rsidRDefault="00E51D61">
      <w:pPr>
        <w:rPr>
          <w:rFonts w:ascii="宋体" w:hAnsi="宋体" w:cs="宋体"/>
          <w:szCs w:val="21"/>
        </w:rPr>
      </w:pPr>
      <w:r>
        <w:rPr>
          <w:rFonts w:ascii="宋体" w:hAnsi="宋体" w:cs="宋体" w:hint="eastAsia"/>
          <w:szCs w:val="21"/>
        </w:rPr>
        <w:t>（一）辩诉交易制度的内涵</w:t>
      </w:r>
    </w:p>
    <w:p w:rsidR="00F773C6" w:rsidRDefault="00E51D61">
      <w:pPr>
        <w:ind w:firstLine="420"/>
        <w:rPr>
          <w:rFonts w:ascii="宋体" w:hAnsi="宋体" w:cs="宋体"/>
          <w:szCs w:val="21"/>
        </w:rPr>
      </w:pPr>
      <w:r>
        <w:rPr>
          <w:rFonts w:ascii="宋体" w:hAnsi="宋体" w:cs="宋体" w:hint="eastAsia"/>
          <w:szCs w:val="21"/>
        </w:rPr>
        <w:t>所谓辩诉交易制度也称为辩诉谈判，是</w:t>
      </w:r>
      <w:r>
        <w:rPr>
          <w:rFonts w:ascii="宋体" w:hAnsi="宋体" w:cs="宋体" w:hint="eastAsia"/>
          <w:szCs w:val="21"/>
        </w:rPr>
        <w:t>20</w:t>
      </w:r>
      <w:r>
        <w:rPr>
          <w:rFonts w:ascii="宋体" w:hAnsi="宋体" w:cs="宋体" w:hint="eastAsia"/>
          <w:szCs w:val="21"/>
        </w:rPr>
        <w:t>世纪六七十年代产生并盛行于</w:t>
      </w:r>
      <w:r>
        <w:rPr>
          <w:rFonts w:ascii="宋体" w:hAnsi="宋体" w:cs="宋体" w:hint="eastAsia"/>
          <w:szCs w:val="21"/>
        </w:rPr>
        <w:t>美国的一种刑事诉讼制度。是指在提起审判前，检察官因所指控的证据不足或难以取得而与被告进行协商的一种制度。</w:t>
      </w:r>
      <w:r>
        <w:rPr>
          <w:rFonts w:ascii="宋体" w:hAnsi="宋体" w:cs="宋体" w:hint="eastAsia"/>
          <w:szCs w:val="21"/>
        </w:rPr>
        <w:footnoteReference w:id="3"/>
      </w:r>
      <w:r>
        <w:rPr>
          <w:rFonts w:ascii="宋体" w:hAnsi="宋体" w:cs="宋体" w:hint="eastAsia"/>
          <w:szCs w:val="21"/>
        </w:rPr>
        <w:t>权威的《布莱克法律词典》中对辩诉交易有更为详细的解释：“辩诉交易是指在刑事被告人就较轻的罪名或者数项指控中的一项或几项做出有罪答辩以换取检察官的某种让步，通常是获得较轻的判决或者撤销其他指控的情况下，检察官和被告人之间经过协商达成的协议。”</w:t>
      </w:r>
      <w:r>
        <w:rPr>
          <w:rFonts w:ascii="宋体" w:hAnsi="宋体" w:cs="宋体"/>
          <w:szCs w:val="21"/>
        </w:rPr>
        <w:footnoteReference w:id="4"/>
      </w:r>
      <w:r>
        <w:rPr>
          <w:rFonts w:ascii="宋体" w:hAnsi="宋体" w:cs="宋体" w:hint="eastAsia"/>
          <w:szCs w:val="21"/>
        </w:rPr>
        <w:t>该种制度的适用条件是被告人自愿承认自己的犯罪行为，而检察官根据被告人的悔过性降格指控犯罪。从本质上讲，辩诉交易主要是检察官与被告人双方之间的“控辩交易”，检察官许诺</w:t>
      </w:r>
      <w:r>
        <w:rPr>
          <w:rFonts w:ascii="宋体" w:hAnsi="宋体" w:cs="宋体" w:hint="eastAsia"/>
          <w:szCs w:val="21"/>
        </w:rPr>
        <w:t>向法官提出有利于被告人的量刑建议或对被告人提出罪轻或减少罪名的指控，以此换取被告人的有罪答辩。在辩诉交易过程中，被害人并没有发言权。辩诉交易体制始终坚持自愿性原则和基于事实基础的原则，体现出其独有的效率、正义与人权保障价值。在国外刑事案件处理中，特别是在刑事案件繁多的美国，辩诉交易起到了重要的作用。</w:t>
      </w:r>
    </w:p>
    <w:p w:rsidR="00F773C6" w:rsidRDefault="00E51D61">
      <w:pPr>
        <w:rPr>
          <w:rFonts w:ascii="宋体" w:hAnsi="宋体" w:cs="宋体"/>
          <w:szCs w:val="21"/>
        </w:rPr>
      </w:pPr>
      <w:r>
        <w:rPr>
          <w:rFonts w:ascii="宋体" w:hAnsi="宋体" w:cs="宋体" w:hint="eastAsia"/>
          <w:szCs w:val="21"/>
        </w:rPr>
        <w:t>（二）认罪认罚从宽制度的内涵</w:t>
      </w:r>
    </w:p>
    <w:p w:rsidR="00F773C6" w:rsidRDefault="00E51D61">
      <w:pPr>
        <w:ind w:firstLine="420"/>
        <w:rPr>
          <w:rFonts w:ascii="宋体" w:hAnsi="宋体" w:cs="宋体"/>
          <w:szCs w:val="21"/>
        </w:rPr>
      </w:pPr>
      <w:r>
        <w:rPr>
          <w:rFonts w:ascii="宋体" w:hAnsi="宋体" w:cs="宋体" w:hint="eastAsia"/>
          <w:szCs w:val="21"/>
        </w:rPr>
        <w:t>被告人认罪认罚从宽制度是指被告人在刑事诉讼过程中主动供述所犯的主要罪行或对被指控的犯罪事实无异议后自愿接受刑事处罚，检察院因而相应地在定罪量刑上作出让步，</w:t>
      </w:r>
      <w:r>
        <w:rPr>
          <w:rFonts w:ascii="宋体" w:hAnsi="宋体" w:cs="宋体" w:hint="eastAsia"/>
          <w:szCs w:val="21"/>
        </w:rPr>
        <w:lastRenderedPageBreak/>
        <w:t>进而法院据此对被告人进行轻</w:t>
      </w:r>
      <w:r>
        <w:rPr>
          <w:rFonts w:ascii="宋体" w:hAnsi="宋体" w:cs="宋体" w:hint="eastAsia"/>
          <w:szCs w:val="21"/>
        </w:rPr>
        <w:t>刑化处罚。认罪认罚从宽制度是由镇压与宽大相结合等刑事政策演变而来，作为政策的制度化和规范化，认罪认罚从宽制度集中于被告人在自愿基础上的认罪与认罚，充分表现了程序上的从简和实体上的从宽。</w:t>
      </w:r>
      <w:r>
        <w:rPr>
          <w:rFonts w:ascii="宋体" w:hAnsi="宋体" w:cs="宋体" w:hint="eastAsia"/>
          <w:szCs w:val="21"/>
        </w:rPr>
        <w:footnoteReference w:id="5"/>
      </w:r>
      <w:r>
        <w:rPr>
          <w:rFonts w:ascii="宋体" w:hAnsi="宋体" w:cs="宋体" w:hint="eastAsia"/>
          <w:szCs w:val="21"/>
        </w:rPr>
        <w:t>认罪，作为一种广义的概念，其成立的重要条件是“被告人对被指控的犯罪事实基本无异议”</w:t>
      </w:r>
      <w:r>
        <w:rPr>
          <w:rFonts w:ascii="宋体" w:hAnsi="宋体" w:cs="宋体" w:hint="eastAsia"/>
          <w:szCs w:val="21"/>
        </w:rPr>
        <w:footnoteReference w:id="6"/>
      </w:r>
      <w:r>
        <w:rPr>
          <w:rFonts w:ascii="宋体" w:hAnsi="宋体" w:cs="宋体" w:hint="eastAsia"/>
          <w:szCs w:val="21"/>
        </w:rPr>
        <w:t>。除此之外，主动如实供述自己的罪行还包括刑法中规定的“坦白”、“自首”等其他可能的情形。所谓认罚则指的是被告人自愿接受法律的处罚。具体表现为在实体上犯罪嫌疑人、被告人自愿接受“认罚”带来的刑罚后果，在程序上认可“认罚”所适应的简化的诉讼程序。</w:t>
      </w:r>
      <w:r>
        <w:rPr>
          <w:rFonts w:ascii="宋体" w:hAnsi="宋体" w:cs="宋体" w:hint="eastAsia"/>
          <w:szCs w:val="21"/>
        </w:rPr>
        <w:footnoteReference w:id="7"/>
      </w:r>
      <w:r>
        <w:rPr>
          <w:rFonts w:ascii="宋体" w:hAnsi="宋体" w:cs="宋体" w:hint="eastAsia"/>
          <w:szCs w:val="21"/>
        </w:rPr>
        <w:t>认罪认罚从宽制度并不是一个相对独立的制度，而是兼顾着实体与程序的双重性质，不仅存在于刑法适用定罪量刑过程中，还存在于刑事诉讼不同程序与阶段。在我国，现行的被告人认罪认罚从宽制度主要以简易程序、刑事和解以及刑事速裁程序这三大制度为典型代表。</w:t>
      </w:r>
    </w:p>
    <w:p w:rsidR="00F773C6" w:rsidRDefault="00E51D61">
      <w:pPr>
        <w:numPr>
          <w:ilvl w:val="0"/>
          <w:numId w:val="1"/>
        </w:numPr>
        <w:rPr>
          <w:rFonts w:ascii="宋体" w:hAnsi="宋体" w:cs="宋体"/>
          <w:b/>
          <w:bCs/>
          <w:szCs w:val="21"/>
        </w:rPr>
      </w:pPr>
      <w:r>
        <w:rPr>
          <w:rFonts w:ascii="宋体" w:hAnsi="宋体" w:cs="宋体" w:hint="eastAsia"/>
          <w:b/>
          <w:bCs/>
          <w:szCs w:val="21"/>
        </w:rPr>
        <w:t>认罪认罚从宽制度与辩诉交易的关系（从认罪认罚三大代表制度看辩诉交易）</w:t>
      </w:r>
    </w:p>
    <w:p w:rsidR="00F773C6" w:rsidRDefault="00E51D61">
      <w:pPr>
        <w:rPr>
          <w:rFonts w:ascii="宋体" w:hAnsi="宋体" w:cs="宋体"/>
          <w:szCs w:val="21"/>
        </w:rPr>
      </w:pPr>
      <w:r>
        <w:rPr>
          <w:rFonts w:ascii="宋体" w:hAnsi="宋体" w:cs="宋体" w:hint="eastAsia"/>
          <w:szCs w:val="21"/>
        </w:rPr>
        <w:t>（一）简易程序制度</w:t>
      </w:r>
    </w:p>
    <w:p w:rsidR="00F773C6" w:rsidRDefault="00E51D61">
      <w:pPr>
        <w:ind w:firstLine="420"/>
        <w:rPr>
          <w:rFonts w:ascii="宋体" w:hAnsi="宋体" w:cs="宋体"/>
          <w:szCs w:val="21"/>
        </w:rPr>
      </w:pPr>
      <w:r>
        <w:rPr>
          <w:rFonts w:ascii="宋体" w:hAnsi="宋体" w:cs="宋体" w:hint="eastAsia"/>
          <w:szCs w:val="21"/>
        </w:rPr>
        <w:t>为节约司法资源，提高司法效率，“简易程序”作为新增程序在</w:t>
      </w:r>
      <w:r>
        <w:rPr>
          <w:rFonts w:ascii="宋体" w:hAnsi="宋体" w:cs="宋体" w:hint="eastAsia"/>
          <w:szCs w:val="21"/>
        </w:rPr>
        <w:t>1996</w:t>
      </w:r>
      <w:r>
        <w:rPr>
          <w:rFonts w:ascii="宋体" w:hAnsi="宋体" w:cs="宋体" w:hint="eastAsia"/>
          <w:szCs w:val="21"/>
        </w:rPr>
        <w:t>年修订的《刑事诉讼法》中首次以专节的形式出现。随后</w:t>
      </w:r>
      <w:r>
        <w:rPr>
          <w:rFonts w:ascii="宋体" w:hAnsi="宋体" w:cs="宋体" w:hint="eastAsia"/>
          <w:szCs w:val="21"/>
        </w:rPr>
        <w:t>2003</w:t>
      </w:r>
      <w:r>
        <w:rPr>
          <w:rFonts w:ascii="宋体" w:hAnsi="宋体" w:cs="宋体" w:hint="eastAsia"/>
          <w:szCs w:val="21"/>
        </w:rPr>
        <w:t>年最高人民法院、检察院、司法部出台了《关于适用普通程序审理</w:t>
      </w:r>
      <w:r>
        <w:rPr>
          <w:rFonts w:ascii="宋体" w:hAnsi="宋体" w:cs="宋体" w:hint="eastAsia"/>
          <w:szCs w:val="21"/>
        </w:rPr>
        <w:t>“被告人认罪案件”的若干意见（试行）》，开始进行普通程序简易审的改革试验。辩诉交易作为一种被告人进行有罪答辩换取减轻罪行，减少罪名从而快速处置的结案方式，也在此改革期间受到了中国学者的关注。因而，在</w:t>
      </w:r>
      <w:r>
        <w:rPr>
          <w:rFonts w:ascii="宋体" w:hAnsi="宋体" w:cs="宋体" w:hint="eastAsia"/>
          <w:szCs w:val="21"/>
        </w:rPr>
        <w:t>2002</w:t>
      </w:r>
      <w:r>
        <w:rPr>
          <w:rFonts w:ascii="宋体" w:hAnsi="宋体" w:cs="宋体" w:hint="eastAsia"/>
          <w:szCs w:val="21"/>
        </w:rPr>
        <w:t>年至</w:t>
      </w:r>
      <w:r>
        <w:rPr>
          <w:rFonts w:ascii="宋体" w:hAnsi="宋体" w:cs="宋体" w:hint="eastAsia"/>
          <w:szCs w:val="21"/>
        </w:rPr>
        <w:t>2004</w:t>
      </w:r>
      <w:r>
        <w:rPr>
          <w:rFonts w:ascii="宋体" w:hAnsi="宋体" w:cs="宋体" w:hint="eastAsia"/>
          <w:szCs w:val="21"/>
        </w:rPr>
        <w:t>年前后就猛地出现了大量的研究论文，而且关注时都是从程序简化、节约司法资源、程序选择权等角度进行简易程序与辩诉交易的分析研究。</w:t>
      </w:r>
      <w:r>
        <w:rPr>
          <w:rFonts w:ascii="宋体" w:hAnsi="宋体" w:cs="宋体" w:hint="eastAsia"/>
          <w:szCs w:val="21"/>
        </w:rPr>
        <w:footnoteReference w:id="8"/>
      </w:r>
      <w:r>
        <w:rPr>
          <w:rFonts w:ascii="宋体" w:hAnsi="宋体" w:cs="宋体" w:hint="eastAsia"/>
          <w:szCs w:val="21"/>
        </w:rPr>
        <w:t>2012</w:t>
      </w:r>
      <w:r>
        <w:rPr>
          <w:rFonts w:ascii="宋体" w:hAnsi="宋体" w:cs="宋体" w:hint="eastAsia"/>
          <w:szCs w:val="21"/>
        </w:rPr>
        <w:t>年再次修订的《刑事诉讼法》再次重申了简易程序并大幅放宽了其适用的范围。基层人民法院管辖的案件，符合下列条件的，可以适用简易程序审判：</w:t>
      </w:r>
      <w:r>
        <w:rPr>
          <w:rFonts w:ascii="宋体" w:hAnsi="宋体" w:cs="宋体" w:hint="eastAsia"/>
          <w:szCs w:val="21"/>
        </w:rPr>
        <w:t>(</w:t>
      </w:r>
      <w:r>
        <w:rPr>
          <w:rFonts w:ascii="宋体" w:hAnsi="宋体" w:cs="宋体" w:hint="eastAsia"/>
          <w:szCs w:val="21"/>
        </w:rPr>
        <w:t>一</w:t>
      </w:r>
      <w:r>
        <w:rPr>
          <w:rFonts w:ascii="宋体" w:hAnsi="宋体" w:cs="宋体" w:hint="eastAsia"/>
          <w:szCs w:val="21"/>
        </w:rPr>
        <w:t>)</w:t>
      </w:r>
      <w:r>
        <w:rPr>
          <w:rFonts w:ascii="宋体" w:hAnsi="宋体" w:cs="宋体" w:hint="eastAsia"/>
          <w:szCs w:val="21"/>
        </w:rPr>
        <w:t>案件事实清楚、证据充分</w:t>
      </w:r>
      <w:r>
        <w:rPr>
          <w:rFonts w:ascii="宋体" w:hAnsi="宋体" w:cs="宋体" w:hint="eastAsia"/>
          <w:szCs w:val="21"/>
        </w:rPr>
        <w:t>的；</w:t>
      </w:r>
      <w:r>
        <w:rPr>
          <w:rFonts w:ascii="宋体" w:hAnsi="宋体" w:cs="宋体" w:hint="eastAsia"/>
          <w:szCs w:val="21"/>
        </w:rPr>
        <w:t>(</w:t>
      </w:r>
      <w:r>
        <w:rPr>
          <w:rFonts w:ascii="宋体" w:hAnsi="宋体" w:cs="宋体" w:hint="eastAsia"/>
          <w:szCs w:val="21"/>
        </w:rPr>
        <w:t>二</w:t>
      </w:r>
      <w:r>
        <w:rPr>
          <w:rFonts w:ascii="宋体" w:hAnsi="宋体" w:cs="宋体" w:hint="eastAsia"/>
          <w:szCs w:val="21"/>
        </w:rPr>
        <w:t>)</w:t>
      </w:r>
      <w:r>
        <w:rPr>
          <w:rFonts w:ascii="宋体" w:hAnsi="宋体" w:cs="宋体" w:hint="eastAsia"/>
          <w:szCs w:val="21"/>
        </w:rPr>
        <w:t>被告人承认自己所犯罪行，对指控的犯罪事实没有异议的；</w:t>
      </w:r>
      <w:r>
        <w:rPr>
          <w:rFonts w:ascii="宋体" w:hAnsi="宋体" w:cs="宋体" w:hint="eastAsia"/>
          <w:szCs w:val="21"/>
        </w:rPr>
        <w:t>(</w:t>
      </w:r>
      <w:r>
        <w:rPr>
          <w:rFonts w:ascii="宋体" w:hAnsi="宋体" w:cs="宋体" w:hint="eastAsia"/>
          <w:szCs w:val="21"/>
        </w:rPr>
        <w:t>三</w:t>
      </w:r>
      <w:r>
        <w:rPr>
          <w:rFonts w:ascii="宋体" w:hAnsi="宋体" w:cs="宋体" w:hint="eastAsia"/>
          <w:szCs w:val="21"/>
        </w:rPr>
        <w:t>)</w:t>
      </w:r>
      <w:r>
        <w:rPr>
          <w:rFonts w:ascii="宋体" w:hAnsi="宋体" w:cs="宋体" w:hint="eastAsia"/>
          <w:szCs w:val="21"/>
        </w:rPr>
        <w:t>被告人对适用简易程序没有异议的。人民检察院在提起公诉的时候，可以建议人民法院适用简易程序。从本质分析，辩诉交易的基础是检察官手中没有的指控证据或证据不足而不得不与被告人进行的交易，以便快速结案，防止案件久拖不决。辩诉交易不以事清证足为必要条件。但是从前述的法律现行规定我们不难看出，简易程序制度适用的一个重要前提是案件事实清楚、证据充分。我国法律的最终目标依然是在证据充分，查清客观事实后惩罚犯罪。因此，辩诉交易与简易程序有着本质上的区别。</w:t>
      </w:r>
    </w:p>
    <w:p w:rsidR="00F773C6" w:rsidRDefault="00E51D61">
      <w:pPr>
        <w:numPr>
          <w:ilvl w:val="0"/>
          <w:numId w:val="2"/>
        </w:numPr>
        <w:rPr>
          <w:rFonts w:ascii="宋体" w:hAnsi="宋体" w:cs="宋体"/>
          <w:szCs w:val="21"/>
        </w:rPr>
      </w:pPr>
      <w:r>
        <w:rPr>
          <w:rFonts w:ascii="宋体" w:hAnsi="宋体" w:cs="宋体" w:hint="eastAsia"/>
          <w:szCs w:val="21"/>
        </w:rPr>
        <w:t>当</w:t>
      </w:r>
      <w:r>
        <w:rPr>
          <w:rFonts w:ascii="宋体" w:hAnsi="宋体" w:cs="宋体" w:hint="eastAsia"/>
          <w:szCs w:val="21"/>
        </w:rPr>
        <w:t>事人和解的公诉案件诉讼程序</w:t>
      </w:r>
    </w:p>
    <w:p w:rsidR="00F773C6" w:rsidRDefault="00E51D61">
      <w:pPr>
        <w:ind w:firstLine="420"/>
        <w:rPr>
          <w:rFonts w:ascii="宋体" w:hAnsi="宋体" w:cs="宋体"/>
          <w:szCs w:val="21"/>
        </w:rPr>
      </w:pPr>
      <w:r>
        <w:rPr>
          <w:rFonts w:ascii="宋体" w:hAnsi="宋体" w:cs="宋体" w:hint="eastAsia"/>
          <w:szCs w:val="21"/>
        </w:rPr>
        <w:t>在</w:t>
      </w:r>
      <w:r>
        <w:rPr>
          <w:rFonts w:ascii="宋体" w:hAnsi="宋体" w:cs="宋体" w:hint="eastAsia"/>
          <w:szCs w:val="21"/>
        </w:rPr>
        <w:t>2013</w:t>
      </w:r>
      <w:r>
        <w:rPr>
          <w:rFonts w:ascii="宋体" w:hAnsi="宋体" w:cs="宋体" w:hint="eastAsia"/>
          <w:szCs w:val="21"/>
        </w:rPr>
        <w:t>年新《刑事诉讼法》中，刑事和解制度作为一项新增设的程序，其基本内涵是犯罪发生后，加害人真心悔过并积极认罪，经调停人的帮助，与被害人直接沟通、共同协商，从而成功解决纠纷。刑事和解可以达到良好的法律后果，恢复被害人及其家属损失、修复社会秩序、最重要的是对未成年犯罪人进行矫治使其顺利回归社会。</w:t>
      </w:r>
      <w:r>
        <w:rPr>
          <w:rFonts w:ascii="宋体" w:hAnsi="宋体" w:cs="宋体" w:hint="eastAsia"/>
          <w:szCs w:val="21"/>
        </w:rPr>
        <w:footnoteReference w:id="9"/>
      </w:r>
      <w:r>
        <w:rPr>
          <w:rFonts w:ascii="宋体" w:hAnsi="宋体" w:cs="宋体" w:hint="eastAsia"/>
          <w:szCs w:val="21"/>
        </w:rPr>
        <w:t>与犯罪者和被害者之间进行的刑事和解不同</w:t>
      </w:r>
      <w:r>
        <w:rPr>
          <w:rFonts w:ascii="宋体" w:hAnsi="宋体" w:cs="宋体" w:hint="eastAsia"/>
          <w:szCs w:val="21"/>
        </w:rPr>
        <w:t>,</w:t>
      </w:r>
      <w:r>
        <w:rPr>
          <w:rFonts w:ascii="宋体" w:hAnsi="宋体" w:cs="宋体" w:hint="eastAsia"/>
          <w:szCs w:val="21"/>
        </w:rPr>
        <w:t>辩诉交易是在代表着国家或社会利益，拥有控诉权的检察官与刑事被告人之间进行的，通过降格指控等方式换取被告人的有罪供述。刑事和解是两个独立的个体之间</w:t>
      </w:r>
      <w:r>
        <w:rPr>
          <w:rFonts w:ascii="宋体" w:hAnsi="宋体" w:cs="宋体" w:hint="eastAsia"/>
          <w:szCs w:val="21"/>
        </w:rPr>
        <w:t>进行的协商</w:t>
      </w:r>
      <w:r>
        <w:rPr>
          <w:rFonts w:ascii="宋体" w:hAnsi="宋体" w:cs="宋体" w:hint="eastAsia"/>
          <w:szCs w:val="21"/>
        </w:rPr>
        <w:t>,</w:t>
      </w:r>
      <w:r>
        <w:rPr>
          <w:rFonts w:ascii="宋体" w:hAnsi="宋体" w:cs="宋体" w:hint="eastAsia"/>
          <w:szCs w:val="21"/>
        </w:rPr>
        <w:t>而辩诉交易是国家与个人之间进行的协商。</w:t>
      </w:r>
      <w:r>
        <w:rPr>
          <w:rFonts w:ascii="宋体" w:hAnsi="宋体" w:cs="宋体" w:hint="eastAsia"/>
          <w:szCs w:val="21"/>
        </w:rPr>
        <w:footnoteReference w:id="10"/>
      </w:r>
      <w:r>
        <w:rPr>
          <w:rFonts w:ascii="宋体" w:hAnsi="宋体" w:cs="宋体" w:hint="eastAsia"/>
          <w:szCs w:val="21"/>
        </w:rPr>
        <w:t>在刑事和解制度中，因和解结果与被害人的个人利益密切相关</w:t>
      </w:r>
      <w:r>
        <w:rPr>
          <w:rFonts w:ascii="宋体" w:hAnsi="宋体" w:cs="宋体" w:hint="eastAsia"/>
          <w:szCs w:val="21"/>
        </w:rPr>
        <w:t>,</w:t>
      </w:r>
      <w:r>
        <w:rPr>
          <w:rFonts w:ascii="宋体" w:hAnsi="宋体" w:cs="宋体" w:hint="eastAsia"/>
          <w:szCs w:val="21"/>
        </w:rPr>
        <w:t>因而在和解过程中，被害人必须参加并竭其所能地争取利益最大化。辩诉交易则不同，就目前来讲，从前文所述辩诉交易制度的内涵可知，辩诉交易只是检察官和被告人之间的协商，同时检察官只是是国家或社会利益的代言人，与辩诉交易的结果之间并没有关系，辩诉交易过程中，被害人大都被排除在程序外，基本没有任何发言权。</w:t>
      </w:r>
    </w:p>
    <w:p w:rsidR="00F773C6" w:rsidRDefault="00E51D61">
      <w:pPr>
        <w:ind w:firstLine="420"/>
        <w:rPr>
          <w:rFonts w:ascii="宋体" w:hAnsi="宋体" w:cs="宋体"/>
          <w:szCs w:val="21"/>
        </w:rPr>
      </w:pPr>
      <w:r>
        <w:rPr>
          <w:rFonts w:ascii="宋体" w:hAnsi="宋体" w:cs="宋体" w:hint="eastAsia"/>
          <w:szCs w:val="21"/>
        </w:rPr>
        <w:t>笔者认为，刑事和解制度与辩诉交易都是一种刑事契约行为，共同之处在于都是通过与被告人进行协商</w:t>
      </w:r>
      <w:r>
        <w:rPr>
          <w:rFonts w:ascii="宋体" w:hAnsi="宋体" w:cs="宋体" w:hint="eastAsia"/>
          <w:szCs w:val="21"/>
        </w:rPr>
        <w:t>,</w:t>
      </w:r>
      <w:r>
        <w:rPr>
          <w:rFonts w:ascii="宋体" w:hAnsi="宋体" w:cs="宋体" w:hint="eastAsia"/>
          <w:szCs w:val="21"/>
        </w:rPr>
        <w:t>使纠纷得到快速解决，案件得以分流，都体现了对认罪认罚当事人从宽处理的精神，进而达到提高司法效率和实现司法公正的目的。</w:t>
      </w:r>
    </w:p>
    <w:p w:rsidR="00F773C6" w:rsidRDefault="00E51D61">
      <w:pPr>
        <w:numPr>
          <w:ilvl w:val="0"/>
          <w:numId w:val="2"/>
        </w:numPr>
        <w:rPr>
          <w:rFonts w:ascii="宋体" w:hAnsi="宋体" w:cs="宋体"/>
          <w:szCs w:val="21"/>
        </w:rPr>
      </w:pPr>
      <w:r>
        <w:rPr>
          <w:rFonts w:ascii="宋体" w:hAnsi="宋体" w:cs="宋体" w:hint="eastAsia"/>
          <w:szCs w:val="21"/>
        </w:rPr>
        <w:lastRenderedPageBreak/>
        <w:t>刑事速裁程序</w:t>
      </w:r>
    </w:p>
    <w:p w:rsidR="00F773C6" w:rsidRDefault="00E51D61">
      <w:pPr>
        <w:ind w:firstLine="210"/>
        <w:rPr>
          <w:rFonts w:ascii="宋体" w:hAnsi="宋体" w:cs="宋体"/>
          <w:szCs w:val="21"/>
        </w:rPr>
      </w:pPr>
      <w:r>
        <w:rPr>
          <w:rFonts w:ascii="宋体" w:hAnsi="宋体" w:cs="宋体" w:hint="eastAsia"/>
          <w:szCs w:val="21"/>
        </w:rPr>
        <w:t>当今正是在司法资源有限与社会需求无限的挤压下，</w:t>
      </w:r>
      <w:r>
        <w:rPr>
          <w:rFonts w:ascii="宋体" w:hAnsi="宋体" w:cs="宋体" w:hint="eastAsia"/>
          <w:szCs w:val="21"/>
        </w:rPr>
        <w:t xml:space="preserve"> </w:t>
      </w:r>
      <w:r>
        <w:rPr>
          <w:rFonts w:ascii="宋体" w:hAnsi="宋体" w:cs="宋体" w:hint="eastAsia"/>
          <w:szCs w:val="21"/>
        </w:rPr>
        <w:t>刑事诉讼的效率理念凸显出现。</w:t>
      </w:r>
      <w:r>
        <w:rPr>
          <w:rFonts w:ascii="宋体" w:hAnsi="宋体" w:cs="宋体" w:hint="eastAsia"/>
          <w:szCs w:val="21"/>
        </w:rPr>
        <w:footnoteReference w:id="11"/>
      </w:r>
      <w:r>
        <w:rPr>
          <w:rFonts w:ascii="宋体" w:hAnsi="宋体" w:cs="宋体" w:hint="eastAsia"/>
          <w:szCs w:val="21"/>
        </w:rPr>
        <w:t>目前我国试行的“认罪协商”制度只适用于刑事速裁程序。速裁程序是在刑事普通程序、简易程序基础之上新增的一项诉讼程序，该程序的设立能够有效实现案件繁简分流，提高诉讼效率。</w:t>
      </w:r>
      <w:r>
        <w:rPr>
          <w:rFonts w:ascii="宋体" w:hAnsi="宋体" w:cs="宋体" w:hint="eastAsia"/>
          <w:szCs w:val="21"/>
        </w:rPr>
        <w:t xml:space="preserve"> 2014 </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日，十二届全国人大常委</w:t>
      </w:r>
      <w:r>
        <w:rPr>
          <w:rFonts w:ascii="宋体" w:hAnsi="宋体" w:cs="宋体" w:hint="eastAsia"/>
          <w:szCs w:val="21"/>
        </w:rPr>
        <w:t>会第九次会议通过了《全国人大常委会关于授予最高人民法院、最高人民检察院部分地区开展刑事案件速裁程序试点工作的决定》，在北京、上海、天津等</w:t>
      </w:r>
      <w:r>
        <w:rPr>
          <w:rFonts w:ascii="宋体" w:hAnsi="宋体" w:cs="宋体" w:hint="eastAsia"/>
          <w:szCs w:val="21"/>
        </w:rPr>
        <w:t xml:space="preserve"> 18 </w:t>
      </w:r>
      <w:r>
        <w:rPr>
          <w:rFonts w:ascii="宋体" w:hAnsi="宋体" w:cs="宋体" w:hint="eastAsia"/>
          <w:szCs w:val="21"/>
        </w:rPr>
        <w:t>个城市开展刑事案件速裁程序试点工作。该决定明确了速裁程序适用的范围：“事实清楚，证据充分，被告人自愿认罪。当事人对适用法律没有争议的危险驾驶、交通肇事、盗窃、诈骗、抢夺、伤害、寻衅滋事等情节较轻，依法可以判处一年以下有期徒刑、拘役、管制的案件，或者依法单处罚金的案件。”同时，要求犯罪嫌疑人、被告人必须对犯罪事实和法律适用无异议，并同意适用速裁程序。</w:t>
      </w:r>
      <w:r>
        <w:rPr>
          <w:rFonts w:ascii="宋体" w:hAnsi="宋体" w:cs="宋体" w:hint="eastAsia"/>
          <w:szCs w:val="21"/>
        </w:rPr>
        <w:footnoteReference w:id="12"/>
      </w:r>
      <w:r>
        <w:rPr>
          <w:rFonts w:ascii="宋体" w:hAnsi="宋体" w:cs="宋体" w:hint="eastAsia"/>
          <w:szCs w:val="21"/>
        </w:rPr>
        <w:t>然而在适用案件范</w:t>
      </w:r>
      <w:r>
        <w:rPr>
          <w:rFonts w:ascii="宋体" w:hAnsi="宋体" w:cs="宋体" w:hint="eastAsia"/>
          <w:szCs w:val="21"/>
        </w:rPr>
        <w:t>围上，与刑事速裁程序相比，辩诉交易程序则适用于所有的刑事案件，甚至包括一些重罪案件。我国刑事速裁决程序体现的“认罪协商”目前仅限于量刑幅度上的协商，在犯罪事实认定和罪名方面还不能适用。而在美国的辩诉交易程序中，双方既可以就量刑问题进行协商，也可以就定罪问题行交易。</w:t>
      </w:r>
    </w:p>
    <w:p w:rsidR="00F773C6" w:rsidRDefault="00E51D61">
      <w:pPr>
        <w:ind w:firstLine="420"/>
        <w:rPr>
          <w:rFonts w:ascii="宋体" w:hAnsi="宋体" w:cs="宋体"/>
          <w:szCs w:val="21"/>
        </w:rPr>
      </w:pPr>
      <w:r>
        <w:rPr>
          <w:rFonts w:ascii="宋体" w:hAnsi="宋体" w:cs="宋体" w:hint="eastAsia"/>
          <w:szCs w:val="21"/>
        </w:rPr>
        <w:t>刑事速裁程序和辩诉交易虽产生并发展于不同的法系及制度，但二者仍有相通之处。与辩诉交易相同，作为我国的一种案件快速处理机制，轻微刑事案件速裁制度也是建立在被告人认罪的基础上的。</w:t>
      </w:r>
    </w:p>
    <w:p w:rsidR="00F773C6" w:rsidRDefault="00E51D61">
      <w:pPr>
        <w:numPr>
          <w:ilvl w:val="0"/>
          <w:numId w:val="3"/>
        </w:numPr>
        <w:rPr>
          <w:b/>
          <w:bCs/>
          <w:szCs w:val="21"/>
        </w:rPr>
      </w:pPr>
      <w:r>
        <w:rPr>
          <w:b/>
          <w:bCs/>
          <w:szCs w:val="21"/>
        </w:rPr>
        <w:t>基于辩诉交易体制，谈认罪认罚从宽制度的健全与完善</w:t>
      </w:r>
    </w:p>
    <w:p w:rsidR="00F773C6" w:rsidRDefault="00E51D61">
      <w:pPr>
        <w:ind w:firstLine="315"/>
        <w:rPr>
          <w:rFonts w:ascii="宋体" w:hAnsi="宋体" w:cs="宋体"/>
          <w:szCs w:val="21"/>
        </w:rPr>
      </w:pPr>
      <w:r>
        <w:rPr>
          <w:rFonts w:ascii="宋体" w:hAnsi="宋体" w:cs="宋体" w:hint="eastAsia"/>
          <w:szCs w:val="21"/>
        </w:rPr>
        <w:t>党的十八届三中全会提</w:t>
      </w:r>
      <w:r>
        <w:rPr>
          <w:rFonts w:ascii="宋体" w:hAnsi="宋体" w:cs="宋体" w:hint="eastAsia"/>
          <w:szCs w:val="21"/>
        </w:rPr>
        <w:t>出完善被告人认罪认罚从宽处罚制度，是社会主义民主法治建设的一个重要方面，充分保障了人权，有助于实现司法公正与效率两大诉讼理念并举，同时也是社会公平正义的要求。我国司法实践中，有些诉讼久拖不决，造成案件积压、犯罪嫌疑人被刑讯逼供或超期羁押，司法系统以及当事人都承担着巨大的压力，司法现状迫切的需要打破困局。辩诉交易正是解决这些问题的良方</w:t>
      </w:r>
      <w:r>
        <w:rPr>
          <w:rFonts w:ascii="宋体" w:hAnsi="宋体" w:cs="宋体" w:hint="eastAsia"/>
          <w:szCs w:val="21"/>
        </w:rPr>
        <w:footnoteReference w:id="13"/>
      </w:r>
      <w:r>
        <w:rPr>
          <w:rFonts w:ascii="宋体" w:hAnsi="宋体" w:cs="宋体" w:hint="eastAsia"/>
          <w:szCs w:val="21"/>
        </w:rPr>
        <w:t>，对于健全与完善认罪认罚从宽制度具有重要借鉴意义。笔者认为，以辩诉交易制度为基础，对认罪认罚从宽处罚制度加以本土化设计，应从以下几点入手</w:t>
      </w:r>
      <w:r>
        <w:rPr>
          <w:rFonts w:ascii="宋体" w:hAnsi="宋体" w:cs="宋体" w:hint="eastAsia"/>
          <w:szCs w:val="21"/>
        </w:rPr>
        <w:t>:</w:t>
      </w:r>
    </w:p>
    <w:p w:rsidR="00F773C6" w:rsidRDefault="00E51D61">
      <w:pPr>
        <w:rPr>
          <w:rFonts w:ascii="宋体" w:hAnsi="宋体" w:cs="宋体"/>
          <w:szCs w:val="21"/>
        </w:rPr>
      </w:pPr>
      <w:r>
        <w:rPr>
          <w:rFonts w:ascii="宋体" w:hAnsi="宋体" w:cs="宋体" w:hint="eastAsia"/>
          <w:szCs w:val="21"/>
        </w:rPr>
        <w:t xml:space="preserve">   </w:t>
      </w:r>
      <w:r>
        <w:rPr>
          <w:rFonts w:ascii="宋体" w:hAnsi="宋体" w:cs="宋体" w:hint="eastAsia"/>
          <w:szCs w:val="21"/>
        </w:rPr>
        <w:t>第一，认罪认罚从宽制度主体的构想。正如笔者在前文中提到的，就辩诉交易来说，参与主体是控诉方和辩护方，不包括被害人和法官。在认罪认罚从宽制度中，应当确立包括被害人在内的四主体一致同意规则。四主体分别是检察院、犯罪嫌疑人或被告人、被害人以及辩护律师。作为认罪认罚适用过程中的控方代表，承办案件的检察官在法庭审理中必须出庭，履行检察监督职责，向犯罪嫌疑人提出启动程序的建议与认罪认罚协议。认罪认罚将会对被告人自身的权利产生重大影响，因此这一诉讼行为必须由其本人亲自作出，其他任何人不能代替。</w:t>
      </w:r>
      <w:r>
        <w:rPr>
          <w:rFonts w:ascii="宋体" w:hAnsi="宋体" w:cs="宋体" w:hint="eastAsia"/>
          <w:szCs w:val="21"/>
        </w:rPr>
        <w:footnoteReference w:id="14"/>
      </w:r>
      <w:r>
        <w:rPr>
          <w:rFonts w:ascii="宋体" w:hAnsi="宋体" w:cs="宋体" w:hint="eastAsia"/>
          <w:szCs w:val="21"/>
        </w:rPr>
        <w:t>健全和完善认罪认罚从</w:t>
      </w:r>
      <w:r>
        <w:rPr>
          <w:rFonts w:ascii="宋体" w:hAnsi="宋体" w:cs="宋体" w:hint="eastAsia"/>
          <w:szCs w:val="21"/>
        </w:rPr>
        <w:t>宽制度，办案单位应充分尊重和保障被告人主动选择认罪认罚程序的选择权与反悔权。犯罪嫌疑人、被告人既可以选择自愿认罪认罚，也可以选择不认罪认罚。</w:t>
      </w:r>
      <w:r>
        <w:rPr>
          <w:rFonts w:ascii="宋体" w:hAnsi="宋体" w:cs="宋体" w:hint="eastAsia"/>
          <w:szCs w:val="21"/>
        </w:rPr>
        <w:footnoteReference w:id="15"/>
      </w:r>
      <w:r>
        <w:rPr>
          <w:rFonts w:ascii="宋体" w:hAnsi="宋体" w:cs="宋体" w:hint="eastAsia"/>
          <w:szCs w:val="21"/>
        </w:rPr>
        <w:t>为确保认罪认罚制度的适用效率，提高诉讼程序的确定性，被害人也应当作为认罪认罚制度的参与主体之一，但被害人不应对案件协商过程产生实质影响。此外，认罪认罚制度中还可以设计赋予辩护律师在场的权利。辩护律师除提供与认罪认罚制度有关的法律咨询外，辩护律师在场，可以帮助犯罪嫌疑人、被告人提出更合理更理性的专业意见，为其争取最大限度的从宽处理结果。</w:t>
      </w:r>
      <w:bookmarkStart w:id="0" w:name="_GoBack"/>
      <w:bookmarkEnd w:id="0"/>
      <w:r>
        <w:rPr>
          <w:rFonts w:ascii="宋体" w:hAnsi="宋体" w:cs="宋体"/>
          <w:szCs w:val="21"/>
        </w:rPr>
        <w:footnoteReference w:id="16"/>
      </w:r>
      <w:r>
        <w:rPr>
          <w:rFonts w:ascii="宋体" w:hAnsi="宋体" w:cs="宋体" w:hint="eastAsia"/>
          <w:szCs w:val="21"/>
        </w:rPr>
        <w:t>我国广大农村的犯罪嫌疑人、被告人</w:t>
      </w:r>
      <w:r>
        <w:rPr>
          <w:rFonts w:ascii="宋体" w:hAnsi="宋体" w:cs="宋体" w:hint="eastAsia"/>
          <w:szCs w:val="21"/>
        </w:rPr>
        <w:t>法律意识、法律知识的普遍性缺乏和文化水平的偏低更增强了这种必要性。</w:t>
      </w:r>
      <w:r>
        <w:rPr>
          <w:rFonts w:ascii="宋体" w:hAnsi="宋体" w:cs="宋体"/>
          <w:szCs w:val="21"/>
        </w:rPr>
        <w:footnoteReference w:id="17"/>
      </w:r>
    </w:p>
    <w:p w:rsidR="00F773C6" w:rsidRDefault="00E51D61">
      <w:pPr>
        <w:ind w:firstLine="315"/>
        <w:rPr>
          <w:rFonts w:ascii="宋体" w:hAnsi="宋体" w:cs="宋体"/>
          <w:szCs w:val="21"/>
        </w:rPr>
      </w:pPr>
      <w:r>
        <w:rPr>
          <w:rFonts w:ascii="宋体" w:hAnsi="宋体" w:cs="宋体" w:hint="eastAsia"/>
          <w:szCs w:val="21"/>
        </w:rPr>
        <w:lastRenderedPageBreak/>
        <w:t>第二，认罪认罚制度适用范围的限定。尽管欧美国家对辩诉交易有着不同的规定，但几乎所有案件都可适用辩诉交易。在我国，如笔者在前文所述，我国体现认罪认罚制度的三大代表制度的适用范围都有着明确的规定。虽然这种法律上的明确的案件范围限定体现了依法治国的立法理念，但却在司法实践中一定程度上造成了程序间衔接的不便。有的学者认为，认罪认罚从宽制度不应当有案件适用范围的限制，应当包括判处死刑刑罚在内的重罪都应当适用该制度。</w:t>
      </w:r>
      <w:r>
        <w:rPr>
          <w:rFonts w:ascii="宋体" w:hAnsi="宋体" w:cs="宋体"/>
          <w:szCs w:val="21"/>
        </w:rPr>
        <w:footnoteReference w:id="18"/>
      </w:r>
      <w:r>
        <w:rPr>
          <w:rFonts w:ascii="宋体" w:hAnsi="宋体" w:cs="宋体" w:hint="eastAsia"/>
          <w:szCs w:val="21"/>
        </w:rPr>
        <w:t>对此，笔者并不赞同。笔者认为，在</w:t>
      </w:r>
      <w:r>
        <w:rPr>
          <w:rFonts w:ascii="宋体" w:hAnsi="宋体" w:cs="宋体" w:hint="eastAsia"/>
          <w:szCs w:val="21"/>
        </w:rPr>
        <w:t>我国认罪认罚从宽制度应当设计案件适用的限定范围，进一步调整各自适用范围，以使得各程序间更好的相互衔接和协调。一方面，并不是所有的案件都需要通过“认罪协商”的方式简化诉讼程序，快速结案，而是仍应该以案件“事实清楚，证据确实、充分”为必要条件。对于那些犯罪事实尚未查清，证据尚未查证核实的案件，不应当适用认罪认罚从宽制度。这也与我国“罪刑法定”原则的精神相吻合。另一方面，对于部分重刑案件也不应当以“认罪协商”这种精简的诉讼程序来处理。重大刑事案件一般犯罪情节严重、复杂且涉及范围比较广，社会影响力大。若仅简单地以“</w:t>
      </w:r>
      <w:r>
        <w:rPr>
          <w:rFonts w:ascii="宋体" w:hAnsi="宋体" w:cs="宋体" w:hint="eastAsia"/>
          <w:szCs w:val="21"/>
        </w:rPr>
        <w:t>认罪认罚”处理这类案件很可能会导致案不清，事不明，进而甚至破坏司法公正。因此，在我国认罪认罚制度不宜适用所用的案件，而应设计限定案件的适用范围。</w:t>
      </w:r>
      <w:r>
        <w:rPr>
          <w:rFonts w:ascii="宋体" w:hAnsi="宋体" w:cs="宋体" w:hint="eastAsia"/>
          <w:szCs w:val="21"/>
        </w:rPr>
        <w:t xml:space="preserve">              </w:t>
      </w:r>
    </w:p>
    <w:p w:rsidR="00F773C6" w:rsidRDefault="00E51D61">
      <w:pPr>
        <w:ind w:firstLine="420"/>
        <w:rPr>
          <w:rFonts w:ascii="宋体" w:hAnsi="宋体" w:cs="宋体"/>
          <w:szCs w:val="21"/>
        </w:rPr>
      </w:pPr>
      <w:r>
        <w:rPr>
          <w:rFonts w:ascii="宋体" w:hAnsi="宋体" w:cs="宋体" w:hint="eastAsia"/>
          <w:szCs w:val="21"/>
        </w:rPr>
        <w:t>第三，认罪认罚制度的程序化设计。我国</w:t>
      </w:r>
      <w:r>
        <w:rPr>
          <w:rFonts w:ascii="宋体" w:hAnsi="宋体" w:cs="宋体" w:hint="eastAsia"/>
          <w:szCs w:val="21"/>
        </w:rPr>
        <w:t>2013</w:t>
      </w:r>
      <w:r>
        <w:rPr>
          <w:rFonts w:ascii="宋体" w:hAnsi="宋体" w:cs="宋体" w:hint="eastAsia"/>
          <w:szCs w:val="21"/>
        </w:rPr>
        <w:t>年新《刑事诉讼法》第</w:t>
      </w:r>
      <w:r>
        <w:rPr>
          <w:rFonts w:ascii="宋体" w:hAnsi="宋体" w:cs="宋体" w:hint="eastAsia"/>
          <w:szCs w:val="21"/>
        </w:rPr>
        <w:t>208</w:t>
      </w:r>
      <w:r>
        <w:rPr>
          <w:rFonts w:ascii="宋体" w:hAnsi="宋体" w:cs="宋体" w:hint="eastAsia"/>
          <w:szCs w:val="21"/>
        </w:rPr>
        <w:t>条规定，对已符合事实清楚、证据充分且被告人对犯罪事实与适用简易程序均无异议的基层法院管辖的案件，人民法院可以适用简易程序审判。《中华人民共和国刑事诉讼法》司法解释第</w:t>
      </w:r>
      <w:r>
        <w:rPr>
          <w:rFonts w:ascii="宋体" w:hAnsi="宋体" w:cs="宋体" w:hint="eastAsia"/>
          <w:szCs w:val="21"/>
        </w:rPr>
        <w:t>496</w:t>
      </w:r>
      <w:r>
        <w:rPr>
          <w:rFonts w:ascii="Tahoma" w:hAnsi="Tahoma" w:cs="Tahoma"/>
          <w:color w:val="333333"/>
          <w:szCs w:val="21"/>
        </w:rPr>
        <w:t>条</w:t>
      </w:r>
      <w:r>
        <w:rPr>
          <w:rFonts w:ascii="Tahoma" w:hAnsi="Tahoma" w:cs="Tahoma" w:hint="eastAsia"/>
          <w:color w:val="333333"/>
          <w:szCs w:val="21"/>
        </w:rPr>
        <w:t>规定，</w:t>
      </w:r>
      <w:r>
        <w:rPr>
          <w:rFonts w:ascii="Tahoma" w:hAnsi="Tahoma" w:cs="Tahoma"/>
          <w:color w:val="333333"/>
          <w:szCs w:val="21"/>
        </w:rPr>
        <w:t>对符合刑事诉讼法第二百七十七条规定的公诉案件，事实清楚、证据充分的，人民法院应当告知当事人</w:t>
      </w:r>
      <w:r>
        <w:rPr>
          <w:rFonts w:ascii="Tahoma" w:hAnsi="Tahoma" w:cs="Tahoma"/>
          <w:color w:val="333333"/>
          <w:szCs w:val="21"/>
        </w:rPr>
        <w:t>可以自行和解；当事人提出申请的，人民法院可以主持双方当事人协商以达成和解。</w:t>
      </w:r>
      <w:r>
        <w:rPr>
          <w:rFonts w:ascii="Tahoma" w:hAnsi="Tahoma" w:cs="Tahoma" w:hint="eastAsia"/>
          <w:color w:val="333333"/>
          <w:szCs w:val="21"/>
        </w:rPr>
        <w:t>最高人民法院刑一庭课题组在《关于刑事案件速裁程序试点若干问题的思考》一文中，也提到</w:t>
      </w:r>
      <w:r>
        <w:rPr>
          <w:rFonts w:eastAsia="Calibri" w:hint="eastAsia"/>
          <w:color w:val="3E3E3E"/>
          <w:szCs w:val="21"/>
        </w:rPr>
        <w:t>人民法院行使启动刑事速裁程序审理案件的决定权。</w:t>
      </w:r>
      <w:r>
        <w:rPr>
          <w:rFonts w:eastAsia="Calibri"/>
          <w:bCs/>
          <w:color w:val="3E3E3E"/>
          <w:szCs w:val="21"/>
        </w:rPr>
        <w:footnoteReference w:id="19"/>
      </w:r>
      <w:r>
        <w:rPr>
          <w:rFonts w:eastAsia="Calibri" w:hint="eastAsia"/>
          <w:color w:val="3E3E3E"/>
          <w:szCs w:val="21"/>
          <w:vertAlign w:val="superscript"/>
        </w:rPr>
        <w:t>由此看来，赋予人民法院认罪认罚程序启动权利是</w:t>
      </w:r>
      <w:r>
        <w:rPr>
          <w:rFonts w:eastAsia="Calibri" w:cs="宋体" w:hint="eastAsia"/>
          <w:szCs w:val="21"/>
        </w:rPr>
        <w:t>认</w:t>
      </w:r>
      <w:r>
        <w:rPr>
          <w:rFonts w:ascii="宋体" w:hAnsi="宋体" w:cs="宋体" w:hint="eastAsia"/>
          <w:szCs w:val="21"/>
        </w:rPr>
        <w:t>罪认罚的三大代表性制度的共通做法。笔者认为，为充分保障当事人权利，在保留法院决定是否启动认罪认罚程序的职权的基础上还应当考虑赋予当事人在不同阶段程序选择权。其一，在侦查阶段，犯罪嫌疑人可通过自首或坦白的方式表示自愿认罪认罚，公安等侦查机关虽然不具有促使犯罪嫌疑人</w:t>
      </w:r>
      <w:r>
        <w:rPr>
          <w:rFonts w:ascii="宋体" w:hAnsi="宋体" w:cs="宋体" w:hint="eastAsia"/>
          <w:szCs w:val="21"/>
        </w:rPr>
        <w:t>认罪认罚的职责，可提出适用认罪认罚制度的建议，在起诉意见书中载明。</w:t>
      </w:r>
      <w:r>
        <w:rPr>
          <w:rFonts w:ascii="宋体" w:hAnsi="宋体" w:cs="宋体"/>
          <w:szCs w:val="21"/>
        </w:rPr>
        <w:footnoteReference w:id="20"/>
      </w:r>
      <w:r>
        <w:rPr>
          <w:rFonts w:ascii="宋体" w:hAnsi="宋体" w:cs="宋体" w:hint="eastAsia"/>
          <w:szCs w:val="21"/>
        </w:rPr>
        <w:t>其二，在审查起诉阶段，检察机关除了对犯罪嫌疑人在侦查阶段提出的认罪认罚请求予以审查确认外，还应同时保证在审查起诉阶段犯罪嫌疑人也能够顺利提出认罪认罚请求。在犯罪嫌疑人提出请求后，检察官应向犯罪嫌疑人充分说明适用认罪认罚制度的法律后果，并提出可能的量刑建议。笔者认为，还应当在认罪认罚程序中设计犯罪嫌疑人可主张获得律师帮助相关规定。但要注意，律师虽然可代表被告人与检察官协商，但协商的最终结果仍然需得到被告人的书面确认。其三，在审判阶段，对于被告</w:t>
      </w:r>
      <w:r>
        <w:rPr>
          <w:rFonts w:ascii="宋体" w:hAnsi="宋体" w:cs="宋体" w:hint="eastAsia"/>
          <w:szCs w:val="21"/>
        </w:rPr>
        <w:t>人自愿主动提起认罪认罚诉求且满足认罪认罚制度适用的案件范围的，法院在审查其真实性和自愿性后，可以决定启动认罪认罚程序。同时，为确保被告人认罪认罚的自愿性、所达成协议的合法性、是否存在其他不得适用认罪认罚制度的法定因素、被告人是否适用相关的法定条件等法院审查内容的全面、真实，法院可以借助社会调查报告制度、案卷材料的审核、法院依职权调查、庭审上的讯问等其他科学合理的审核方式。</w:t>
      </w:r>
      <w:r>
        <w:rPr>
          <w:rFonts w:ascii="宋体" w:hAnsi="宋体" w:cs="宋体"/>
          <w:szCs w:val="21"/>
        </w:rPr>
        <w:footnoteReference w:id="21"/>
      </w:r>
    </w:p>
    <w:p w:rsidR="00F773C6" w:rsidRDefault="00E51D61">
      <w:pPr>
        <w:ind w:firstLine="420"/>
        <w:rPr>
          <w:rFonts w:eastAsia="Calibri"/>
          <w:szCs w:val="21"/>
        </w:rPr>
      </w:pPr>
      <w:r>
        <w:rPr>
          <w:rFonts w:eastAsia="Calibri" w:hint="eastAsia"/>
          <w:szCs w:val="21"/>
        </w:rPr>
        <w:t>最后，认罪认罚制度的监督和救济机制构建。一项制度得以良好的运行，其背后必然有完备的监督机制作为坚强的后盾。一项制度是否可行关键看违反相</w:t>
      </w:r>
      <w:r>
        <w:rPr>
          <w:rFonts w:eastAsia="Calibri" w:hint="eastAsia"/>
          <w:szCs w:val="21"/>
        </w:rPr>
        <w:t>关规定后，有无相应的制裁救济措施，并且同时考察这措施是否可被激活。在实行认罪认罚的情况下，最大限度地保障司法公平正义不受到损害，是我国推进认罪认罚制度应坚持的基本原则。为保障公平正义的实现，必须对认罪认罚制度加以监督。各种审查监督机制可能都很重要，或者说都不可缺少，它们能从各个方面对辩诉交易进行制约，防止其进行无原则的交易，但其</w:t>
      </w:r>
      <w:r>
        <w:rPr>
          <w:rFonts w:eastAsia="Calibri" w:hint="eastAsia"/>
          <w:szCs w:val="21"/>
        </w:rPr>
        <w:lastRenderedPageBreak/>
        <w:t>中司法审查机制尤为重要，因为只有这种制约才具有法律效力。</w:t>
      </w:r>
      <w:r>
        <w:rPr>
          <w:rFonts w:eastAsia="Calibri"/>
          <w:szCs w:val="21"/>
        </w:rPr>
        <w:footnoteReference w:id="22"/>
      </w:r>
      <w:r>
        <w:rPr>
          <w:rFonts w:eastAsia="Calibri" w:hint="eastAsia"/>
          <w:szCs w:val="21"/>
        </w:rPr>
        <w:t>据此，笔者认为有必要建立起司法审查监督机制，在立法层面上赋予法官对认罪认罚协议最终的司法审查权。一方面，法官的最终审查权体现</w:t>
      </w:r>
      <w:r>
        <w:rPr>
          <w:rFonts w:eastAsia="Calibri" w:hint="eastAsia"/>
          <w:szCs w:val="21"/>
        </w:rPr>
        <w:t>在，犯罪嫌疑人、被告人在主动认罪认罚并与被害人达成协议后，有义务接受法官的审查。笔者认为，这种司法审查不应当只停留在以往司法实践中形式上的审查，更应当是对最终协商结果及书面协议进行实质性审查，实际考察公诉人、被害人、犯罪嫌疑人或被告人是否出于真实意愿。另一方面，限定法官的司法审查权，确保法官本身在行使司法审查权时不得滥用权利。认罪认罚从宽制度作为一项新的制度一旦确立，就具备一定的公信力，无正当理由法官不得任意、随意行使这项权利，否则认罪认罚制度公信力无从谈起。认罪认罚从宽制度作为一项新的制度，不正当认罪协商</w:t>
      </w:r>
      <w:r>
        <w:rPr>
          <w:rFonts w:eastAsia="Calibri" w:hint="eastAsia"/>
          <w:szCs w:val="21"/>
        </w:rPr>
        <w:t>的发生不可避免。为了最大限度地防止不正当认罪协商的发生或者在发生后能够及时加以救济，必须建立配套的救济机制。</w:t>
      </w:r>
      <w:r>
        <w:rPr>
          <w:rFonts w:eastAsia="Calibri"/>
          <w:szCs w:val="21"/>
        </w:rPr>
        <w:footnoteReference w:id="23"/>
      </w:r>
      <w:r>
        <w:rPr>
          <w:rFonts w:eastAsia="Calibri" w:hint="eastAsia"/>
          <w:szCs w:val="21"/>
        </w:rPr>
        <w:t>笔者认为，这种救济机制应当包含以下两项内容。其一，法官在行使司法审查权时，一旦发现认罪认罚过程损害司法公平正义或有非自愿的情形出现，可以要求控诉机关重新考虑犯罪嫌疑人或被告人的认罪认罚内容。否则，法院可以据此直接按照协议内容对被告人定罪量刑。其二，构建审判监督程序与认罪认罚程序的衔接，作为另一种救济方式。通过启动审判监督程序重新审理认罪认罚案件并对错误予以纠正，以达到维护司法公平正义的目的。</w:t>
      </w:r>
    </w:p>
    <w:p w:rsidR="00F773C6" w:rsidRDefault="00E51D61">
      <w:pPr>
        <w:rPr>
          <w:rFonts w:eastAsia="Calibri"/>
          <w:b/>
          <w:szCs w:val="21"/>
        </w:rPr>
      </w:pPr>
      <w:r>
        <w:rPr>
          <w:rFonts w:eastAsia="Calibri" w:hint="eastAsia"/>
          <w:b/>
          <w:szCs w:val="21"/>
        </w:rPr>
        <w:t>四、结</w:t>
      </w:r>
      <w:r>
        <w:rPr>
          <w:rFonts w:eastAsia="Calibri" w:hint="eastAsia"/>
          <w:b/>
          <w:szCs w:val="21"/>
        </w:rPr>
        <w:t>语</w:t>
      </w:r>
    </w:p>
    <w:p w:rsidR="00F773C6" w:rsidRDefault="00E51D61">
      <w:pPr>
        <w:ind w:firstLine="315"/>
        <w:rPr>
          <w:rFonts w:eastAsia="Calibri"/>
          <w:szCs w:val="21"/>
        </w:rPr>
      </w:pPr>
      <w:r>
        <w:rPr>
          <w:rFonts w:eastAsia="Calibri" w:hint="eastAsia"/>
          <w:szCs w:val="21"/>
        </w:rPr>
        <w:t>综上所述，认罪认罚从宽制度作为一项波及面广、内容丰满的系统性工程，规范其适用一方面有助于刑事程序法、实体法层面法律的修改与完善，另一方面也有助于司法机制体制的建构、调整和发展。由此可知，为促进我国整个刑事司法体系的发展，应加强认罪认罚制度的改革。就目前来讲，辩诉交易作为一种节约司法资源，快速结案的法律制度，在西方国家广泛推行，而我国现行的刑事诉讼制度中还没有关于辩诉交易的相关规定。虽然我国引进辩诉交易制度的条件尚不成熟，但随着司法制度的逐步完善，可以在吸收借鉴西方辩诉交易先进经验的基础上对认罪认罚制度加</w:t>
      </w:r>
      <w:r>
        <w:rPr>
          <w:rFonts w:eastAsia="Calibri" w:hint="eastAsia"/>
          <w:szCs w:val="21"/>
        </w:rPr>
        <w:t>以本土化设计。我国基于辩诉交易体制的被告人认罪认罚从宽制度必将更加健全与完善。</w:t>
      </w:r>
    </w:p>
    <w:p w:rsidR="00F773C6" w:rsidRDefault="00F773C6">
      <w:pPr>
        <w:tabs>
          <w:tab w:val="left" w:pos="6598"/>
        </w:tabs>
        <w:jc w:val="left"/>
        <w:rPr>
          <w:szCs w:val="21"/>
        </w:rPr>
      </w:pPr>
    </w:p>
    <w:p w:rsidR="00F773C6" w:rsidRDefault="00E51D61">
      <w:pPr>
        <w:tabs>
          <w:tab w:val="left" w:pos="6598"/>
        </w:tabs>
        <w:jc w:val="left"/>
        <w:rPr>
          <w:szCs w:val="21"/>
        </w:rPr>
      </w:pPr>
      <w:r>
        <w:rPr>
          <w:b/>
          <w:szCs w:val="21"/>
        </w:rPr>
        <w:t xml:space="preserve">Title: </w:t>
      </w:r>
      <w:r>
        <w:rPr>
          <w:rFonts w:ascii="Arial" w:hAnsi="Arial" w:cs="Arial"/>
          <w:color w:val="333333"/>
          <w:szCs w:val="21"/>
          <w:shd w:val="clear" w:color="auto" w:fill="F9F9F9"/>
        </w:rPr>
        <w:t>To</w:t>
      </w:r>
      <w:r>
        <w:rPr>
          <w:rStyle w:val="apple-converted-space"/>
          <w:rFonts w:ascii="Arial" w:hAnsi="Arial" w:cs="Arial"/>
          <w:color w:val="333333"/>
          <w:szCs w:val="21"/>
          <w:shd w:val="clear" w:color="auto" w:fill="F9F9F9"/>
        </w:rPr>
        <w:t> </w:t>
      </w:r>
      <w:r>
        <w:rPr>
          <w:rFonts w:ascii="Arial" w:hAnsi="Arial" w:cs="Arial"/>
          <w:color w:val="333333"/>
          <w:szCs w:val="21"/>
          <w:shd w:val="clear" w:color="auto" w:fill="F9F9F9"/>
        </w:rPr>
        <w:t>establish</w:t>
      </w:r>
      <w:r>
        <w:rPr>
          <w:rStyle w:val="apple-converted-space"/>
          <w:rFonts w:ascii="Arial" w:hAnsi="Arial" w:cs="Arial"/>
          <w:color w:val="333333"/>
          <w:szCs w:val="21"/>
          <w:shd w:val="clear" w:color="auto" w:fill="F9F9F9"/>
        </w:rPr>
        <w:t> </w:t>
      </w:r>
      <w:r>
        <w:rPr>
          <w:rStyle w:val="high-light"/>
          <w:rFonts w:ascii="Arial" w:hAnsi="Arial" w:cs="Arial"/>
          <w:color w:val="333333"/>
          <w:szCs w:val="21"/>
          <w:shd w:val="clear" w:color="auto" w:fill="F9F9F9"/>
        </w:rPr>
        <w:t>and</w:t>
      </w:r>
      <w:r>
        <w:rPr>
          <w:rStyle w:val="apple-converted-space"/>
          <w:rFonts w:ascii="Arial" w:hAnsi="Arial" w:cs="Arial"/>
          <w:color w:val="333333"/>
          <w:szCs w:val="21"/>
          <w:shd w:val="clear" w:color="auto" w:fill="F9F9F9"/>
        </w:rPr>
        <w:t> </w:t>
      </w:r>
      <w:r>
        <w:rPr>
          <w:rStyle w:val="high-light"/>
          <w:rFonts w:ascii="Arial" w:hAnsi="Arial" w:cs="Arial"/>
          <w:color w:val="333333"/>
          <w:szCs w:val="21"/>
          <w:shd w:val="clear" w:color="auto" w:fill="F9F9F9"/>
        </w:rPr>
        <w:t>improve</w:t>
      </w:r>
      <w:r>
        <w:rPr>
          <w:rStyle w:val="apple-converted-space"/>
          <w:rFonts w:ascii="Arial" w:hAnsi="Arial" w:cs="Arial"/>
          <w:color w:val="333333"/>
          <w:szCs w:val="21"/>
          <w:shd w:val="clear" w:color="auto" w:fill="F9F9F9"/>
        </w:rPr>
        <w:t> </w:t>
      </w:r>
      <w:r>
        <w:rPr>
          <w:rFonts w:ascii="Arial" w:hAnsi="Arial" w:cs="Arial"/>
          <w:color w:val="333333"/>
          <w:szCs w:val="21"/>
          <w:shd w:val="clear" w:color="auto" w:fill="F9F9F9"/>
        </w:rPr>
        <w:t>the</w:t>
      </w:r>
      <w:r>
        <w:rPr>
          <w:rStyle w:val="apple-converted-space"/>
          <w:rFonts w:ascii="Arial" w:hAnsi="Arial" w:cs="Arial" w:hint="eastAsia"/>
          <w:color w:val="333333"/>
          <w:szCs w:val="21"/>
        </w:rPr>
        <w:t xml:space="preserve"> system</w:t>
      </w:r>
      <w:r>
        <w:rPr>
          <w:rFonts w:ascii="Arial" w:hAnsi="Arial" w:cs="Arial"/>
          <w:color w:val="333333"/>
          <w:szCs w:val="21"/>
          <w:shd w:val="clear" w:color="auto" w:fill="F9F9F9"/>
        </w:rPr>
        <w:t xml:space="preserve"> </w:t>
      </w:r>
      <w:r>
        <w:rPr>
          <w:rFonts w:ascii="Arial" w:hAnsi="Arial" w:cs="Arial" w:hint="eastAsia"/>
          <w:color w:val="333333"/>
          <w:szCs w:val="21"/>
          <w:shd w:val="clear" w:color="auto" w:fill="F9F9F9"/>
        </w:rPr>
        <w:t xml:space="preserve">of </w:t>
      </w:r>
      <w:r>
        <w:rPr>
          <w:szCs w:val="21"/>
        </w:rPr>
        <w:t>Recognition on crime and punishment under the perspective of Plea bargaining system</w:t>
      </w:r>
    </w:p>
    <w:p w:rsidR="00F773C6" w:rsidRDefault="00E51D61">
      <w:pPr>
        <w:tabs>
          <w:tab w:val="left" w:pos="6598"/>
        </w:tabs>
        <w:jc w:val="left"/>
        <w:rPr>
          <w:szCs w:val="21"/>
        </w:rPr>
      </w:pPr>
      <w:r>
        <w:rPr>
          <w:szCs w:val="21"/>
        </w:rPr>
        <w:t>Wang Tong  law school of Shandong University  Jinan, Shandong Povince</w:t>
      </w:r>
    </w:p>
    <w:p w:rsidR="00F773C6" w:rsidRDefault="00E51D61">
      <w:pPr>
        <w:tabs>
          <w:tab w:val="left" w:pos="6598"/>
        </w:tabs>
        <w:jc w:val="left"/>
        <w:rPr>
          <w:szCs w:val="21"/>
        </w:rPr>
      </w:pPr>
      <w:r>
        <w:rPr>
          <w:b/>
          <w:szCs w:val="21"/>
        </w:rPr>
        <w:t>Abstract:</w:t>
      </w:r>
      <w:r>
        <w:rPr>
          <w:szCs w:val="21"/>
        </w:rPr>
        <w:t xml:space="preserve"> </w:t>
      </w:r>
      <w:r>
        <w:rPr>
          <w:szCs w:val="21"/>
        </w:rPr>
        <w:t xml:space="preserve">As the society developing,It is difficult to avoid conflicts between development of criminal and the relative scarcity of and judicial resources . The </w:t>
      </w:r>
      <w:r>
        <w:rPr>
          <w:rStyle w:val="apple-converted-space"/>
          <w:rFonts w:ascii="Arial" w:hAnsi="Arial" w:cs="Arial" w:hint="eastAsia"/>
          <w:color w:val="333333"/>
          <w:szCs w:val="21"/>
        </w:rPr>
        <w:t>system</w:t>
      </w:r>
      <w:r>
        <w:rPr>
          <w:rFonts w:ascii="Arial" w:hAnsi="Arial" w:cs="Arial"/>
          <w:color w:val="333333"/>
          <w:szCs w:val="21"/>
          <w:shd w:val="clear" w:color="auto" w:fill="F9F9F9"/>
        </w:rPr>
        <w:t xml:space="preserve"> </w:t>
      </w:r>
      <w:r>
        <w:rPr>
          <w:rFonts w:ascii="Arial" w:hAnsi="Arial" w:cs="Arial" w:hint="eastAsia"/>
          <w:color w:val="333333"/>
          <w:szCs w:val="21"/>
          <w:shd w:val="clear" w:color="auto" w:fill="F9F9F9"/>
        </w:rPr>
        <w:t xml:space="preserve">of </w:t>
      </w:r>
      <w:r>
        <w:rPr>
          <w:szCs w:val="21"/>
        </w:rPr>
        <w:t>Recognition on crime and punishment which is a new system based on prosecutorial authority accu</w:t>
      </w:r>
      <w:r>
        <w:rPr>
          <w:szCs w:val="21"/>
        </w:rPr>
        <w:t xml:space="preserve">sed the defendant guilty .It was born in the nature of both the dual attributes of entities and procedures. Compared to the prevailing western plea bargaining system, our </w:t>
      </w:r>
      <w:r>
        <w:rPr>
          <w:rStyle w:val="apple-converted-space"/>
          <w:rFonts w:ascii="Arial" w:hAnsi="Arial" w:cs="Arial" w:hint="eastAsia"/>
          <w:color w:val="333333"/>
          <w:szCs w:val="21"/>
        </w:rPr>
        <w:t>system</w:t>
      </w:r>
      <w:r>
        <w:rPr>
          <w:rFonts w:ascii="Arial" w:hAnsi="Arial" w:cs="Arial"/>
          <w:color w:val="333333"/>
          <w:szCs w:val="21"/>
          <w:shd w:val="clear" w:color="auto" w:fill="F9F9F9"/>
        </w:rPr>
        <w:t xml:space="preserve"> </w:t>
      </w:r>
      <w:r>
        <w:rPr>
          <w:rFonts w:ascii="Arial" w:hAnsi="Arial" w:cs="Arial" w:hint="eastAsia"/>
          <w:color w:val="333333"/>
          <w:szCs w:val="21"/>
          <w:shd w:val="clear" w:color="auto" w:fill="F9F9F9"/>
        </w:rPr>
        <w:t xml:space="preserve">of </w:t>
      </w:r>
      <w:r>
        <w:rPr>
          <w:szCs w:val="21"/>
        </w:rPr>
        <w:t>recognition on crime and punishment have some common places and some differ</w:t>
      </w:r>
      <w:r>
        <w:rPr>
          <w:szCs w:val="21"/>
        </w:rPr>
        <w:t xml:space="preserve">ent places as well. This thesis focuses </w:t>
      </w:r>
      <w:r>
        <w:rPr>
          <w:rFonts w:ascii="Arial" w:hAnsi="Arial" w:cs="Arial" w:hint="eastAsia"/>
          <w:color w:val="333333"/>
          <w:szCs w:val="21"/>
          <w:shd w:val="clear" w:color="auto" w:fill="F9F9F9"/>
        </w:rPr>
        <w:t xml:space="preserve">is to </w:t>
      </w:r>
      <w:r>
        <w:rPr>
          <w:rFonts w:ascii="Arial" w:hAnsi="Arial" w:cs="Arial"/>
          <w:color w:val="333333"/>
          <w:szCs w:val="21"/>
          <w:shd w:val="clear" w:color="auto" w:fill="F9F9F9"/>
        </w:rPr>
        <w:t>establish</w:t>
      </w:r>
      <w:r>
        <w:rPr>
          <w:rStyle w:val="apple-converted-space"/>
          <w:rFonts w:ascii="Arial" w:hAnsi="Arial" w:cs="Arial"/>
          <w:color w:val="333333"/>
          <w:szCs w:val="21"/>
          <w:shd w:val="clear" w:color="auto" w:fill="F9F9F9"/>
        </w:rPr>
        <w:t> </w:t>
      </w:r>
      <w:r>
        <w:rPr>
          <w:rStyle w:val="high-light"/>
          <w:rFonts w:ascii="Arial" w:hAnsi="Arial" w:cs="Arial"/>
          <w:szCs w:val="21"/>
          <w:shd w:val="clear" w:color="auto" w:fill="F9F9F9"/>
        </w:rPr>
        <w:t>and</w:t>
      </w:r>
      <w:r>
        <w:rPr>
          <w:rStyle w:val="apple-converted-space"/>
          <w:rFonts w:ascii="Arial" w:hAnsi="Arial" w:cs="Arial"/>
          <w:szCs w:val="21"/>
          <w:shd w:val="clear" w:color="auto" w:fill="F9F9F9"/>
        </w:rPr>
        <w:t> </w:t>
      </w:r>
      <w:r>
        <w:rPr>
          <w:rStyle w:val="high-light"/>
          <w:rFonts w:ascii="Arial" w:hAnsi="Arial" w:cs="Arial"/>
          <w:szCs w:val="21"/>
          <w:shd w:val="clear" w:color="auto" w:fill="F9F9F9"/>
        </w:rPr>
        <w:t>improve</w:t>
      </w:r>
      <w:r>
        <w:rPr>
          <w:rStyle w:val="apple-converted-space"/>
          <w:rFonts w:ascii="Arial" w:hAnsi="Arial" w:cs="Arial"/>
          <w:szCs w:val="21"/>
          <w:shd w:val="clear" w:color="auto" w:fill="F9F9F9"/>
        </w:rPr>
        <w:t> </w:t>
      </w:r>
      <w:r>
        <w:rPr>
          <w:rFonts w:ascii="Arial" w:hAnsi="Arial" w:cs="Arial"/>
          <w:color w:val="333333"/>
          <w:szCs w:val="21"/>
          <w:shd w:val="clear" w:color="auto" w:fill="F9F9F9"/>
        </w:rPr>
        <w:t>the</w:t>
      </w:r>
      <w:r>
        <w:rPr>
          <w:rStyle w:val="apple-converted-space"/>
          <w:rFonts w:ascii="Arial" w:hAnsi="Arial" w:cs="Arial" w:hint="eastAsia"/>
          <w:color w:val="333333"/>
          <w:szCs w:val="21"/>
        </w:rPr>
        <w:t xml:space="preserve"> system</w:t>
      </w:r>
      <w:r>
        <w:rPr>
          <w:rFonts w:ascii="Arial" w:hAnsi="Arial" w:cs="Arial"/>
          <w:color w:val="333333"/>
          <w:szCs w:val="21"/>
          <w:shd w:val="clear" w:color="auto" w:fill="F9F9F9"/>
        </w:rPr>
        <w:t xml:space="preserve"> </w:t>
      </w:r>
      <w:r>
        <w:rPr>
          <w:rFonts w:ascii="Arial" w:hAnsi="Arial" w:cs="Arial" w:hint="eastAsia"/>
          <w:color w:val="333333"/>
          <w:szCs w:val="21"/>
          <w:shd w:val="clear" w:color="auto" w:fill="F9F9F9"/>
        </w:rPr>
        <w:t xml:space="preserve">of </w:t>
      </w:r>
      <w:r>
        <w:rPr>
          <w:szCs w:val="21"/>
        </w:rPr>
        <w:t>Recognition on crime and punishment under the perspective of Plea bargaining system.</w:t>
      </w:r>
    </w:p>
    <w:p w:rsidR="00F773C6" w:rsidRDefault="00E51D61">
      <w:pPr>
        <w:tabs>
          <w:tab w:val="left" w:pos="6598"/>
        </w:tabs>
        <w:jc w:val="left"/>
        <w:rPr>
          <w:szCs w:val="21"/>
        </w:rPr>
      </w:pPr>
      <w:r>
        <w:rPr>
          <w:b/>
          <w:szCs w:val="21"/>
        </w:rPr>
        <w:t>key words:</w:t>
      </w:r>
      <w:r>
        <w:rPr>
          <w:szCs w:val="21"/>
        </w:rPr>
        <w:t xml:space="preserve">Plea bargaining system; the defendant;pleaded guilty penalty; </w:t>
      </w:r>
      <w:r>
        <w:rPr>
          <w:rStyle w:val="apple-converted-space"/>
          <w:rFonts w:ascii="Arial" w:hAnsi="Arial" w:cs="Arial" w:hint="eastAsia"/>
          <w:color w:val="333333"/>
          <w:szCs w:val="21"/>
        </w:rPr>
        <w:t>system</w:t>
      </w:r>
      <w:r>
        <w:rPr>
          <w:rFonts w:ascii="Arial" w:hAnsi="Arial" w:cs="Arial"/>
          <w:color w:val="333333"/>
          <w:szCs w:val="21"/>
          <w:shd w:val="clear" w:color="auto" w:fill="F9F9F9"/>
        </w:rPr>
        <w:t xml:space="preserve"> </w:t>
      </w:r>
      <w:r>
        <w:rPr>
          <w:rFonts w:ascii="Arial" w:hAnsi="Arial" w:cs="Arial" w:hint="eastAsia"/>
          <w:color w:val="333333"/>
          <w:szCs w:val="21"/>
          <w:shd w:val="clear" w:color="auto" w:fill="F9F9F9"/>
        </w:rPr>
        <w:t xml:space="preserve">of </w:t>
      </w:r>
      <w:r>
        <w:rPr>
          <w:szCs w:val="21"/>
        </w:rPr>
        <w:t>Recognition on crime and punishment;improvement and perfecting</w:t>
      </w:r>
    </w:p>
    <w:sectPr w:rsidR="00F773C6" w:rsidSect="00F773C6">
      <w:footnotePr>
        <w:numRestart w:val="eachPage"/>
      </w:footnotePr>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D61" w:rsidRDefault="00E51D61" w:rsidP="00F773C6">
      <w:r>
        <w:separator/>
      </w:r>
    </w:p>
  </w:endnote>
  <w:endnote w:type="continuationSeparator" w:id="0">
    <w:p w:rsidR="00E51D61" w:rsidRDefault="00E51D61" w:rsidP="00F773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楷体_GB2312">
    <w:altName w:val="MS Mincho"/>
    <w:charset w:val="86"/>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D61" w:rsidRDefault="00E51D61" w:rsidP="00F773C6">
      <w:r>
        <w:separator/>
      </w:r>
    </w:p>
  </w:footnote>
  <w:footnote w:type="continuationSeparator" w:id="0">
    <w:p w:rsidR="00E51D61" w:rsidRDefault="00E51D61" w:rsidP="00F773C6">
      <w:r>
        <w:continuationSeparator/>
      </w:r>
    </w:p>
  </w:footnote>
  <w:footnote w:id="1">
    <w:p w:rsidR="00F773C6" w:rsidRDefault="00E51D61">
      <w:r>
        <w:footnoteRef/>
      </w:r>
      <w:r>
        <w:t xml:space="preserve"> </w:t>
      </w:r>
      <w:r>
        <w:t>参见谭世贵：《实体法与程序法双重视角下的认罪认罚从宽制度研究》，《法学杂志》</w:t>
      </w:r>
      <w:r>
        <w:t>2016</w:t>
      </w:r>
      <w:r>
        <w:t>年第</w:t>
      </w:r>
      <w:r>
        <w:t>8</w:t>
      </w:r>
      <w:r>
        <w:t>期，</w:t>
      </w:r>
      <w:r>
        <w:t>15</w:t>
      </w:r>
      <w:r>
        <w:t>页。</w:t>
      </w:r>
    </w:p>
  </w:footnote>
  <w:footnote w:id="2">
    <w:p w:rsidR="00F773C6" w:rsidRDefault="00E51D61">
      <w:r>
        <w:footnoteRef/>
      </w:r>
      <w:r>
        <w:t xml:space="preserve"> </w:t>
      </w:r>
      <w:r>
        <w:t>左卫民、吕国凡：《完善被告人认罪认罚从宽处理制度的若干思考》，《理论视野》</w:t>
      </w:r>
      <w:r>
        <w:t>2015</w:t>
      </w:r>
      <w:r>
        <w:t>年</w:t>
      </w:r>
      <w:r>
        <w:t>4</w:t>
      </w:r>
      <w:r>
        <w:t>月，</w:t>
      </w:r>
      <w:r>
        <w:t>39</w:t>
      </w:r>
      <w:r>
        <w:t>页。</w:t>
      </w:r>
    </w:p>
  </w:footnote>
  <w:footnote w:id="3">
    <w:p w:rsidR="00F773C6" w:rsidRDefault="00E51D61">
      <w:r>
        <w:footnoteRef/>
      </w:r>
      <w:r>
        <w:rPr>
          <w:rFonts w:eastAsia="Calibri" w:hint="eastAsia"/>
          <w:sz w:val="18"/>
          <w:szCs w:val="18"/>
        </w:rPr>
        <w:t xml:space="preserve"> </w:t>
      </w:r>
      <w:r>
        <w:rPr>
          <w:rFonts w:eastAsia="Calibri" w:hint="eastAsia"/>
          <w:sz w:val="18"/>
          <w:szCs w:val="18"/>
        </w:rPr>
        <w:t>纪艽：《浅议我国完善被告人认罪认罚从宽制度能否引进辩诉交易制度》，《法制与社会》</w:t>
      </w:r>
      <w:r>
        <w:rPr>
          <w:rFonts w:eastAsia="Calibri" w:hint="eastAsia"/>
          <w:sz w:val="18"/>
          <w:szCs w:val="18"/>
        </w:rPr>
        <w:t>,2015</w:t>
      </w:r>
      <w:r>
        <w:rPr>
          <w:rFonts w:eastAsia="Calibri" w:hint="eastAsia"/>
          <w:sz w:val="18"/>
          <w:szCs w:val="18"/>
        </w:rPr>
        <w:t>年</w:t>
      </w:r>
      <w:r>
        <w:rPr>
          <w:rFonts w:eastAsia="Calibri" w:hint="eastAsia"/>
          <w:sz w:val="18"/>
          <w:szCs w:val="18"/>
        </w:rPr>
        <w:t>5</w:t>
      </w:r>
      <w:r>
        <w:rPr>
          <w:rFonts w:eastAsia="Calibri" w:hint="eastAsia"/>
          <w:sz w:val="18"/>
          <w:szCs w:val="18"/>
        </w:rPr>
        <w:t>月，</w:t>
      </w:r>
      <w:r>
        <w:rPr>
          <w:rFonts w:eastAsia="Calibri" w:hint="eastAsia"/>
          <w:sz w:val="18"/>
          <w:szCs w:val="18"/>
        </w:rPr>
        <w:t>125-126</w:t>
      </w:r>
      <w:r>
        <w:rPr>
          <w:rFonts w:eastAsia="Calibri" w:hint="eastAsia"/>
          <w:sz w:val="18"/>
          <w:szCs w:val="18"/>
        </w:rPr>
        <w:t>页。</w:t>
      </w:r>
    </w:p>
  </w:footnote>
  <w:footnote w:id="4">
    <w:p w:rsidR="00F773C6" w:rsidRDefault="00E51D61">
      <w:r>
        <w:footnoteRef/>
      </w:r>
      <w:r>
        <w:t xml:space="preserve"> </w:t>
      </w:r>
      <w:r>
        <w:rPr>
          <w:rFonts w:eastAsia="Calibri"/>
        </w:rPr>
        <w:t>Bryan A. Garner: Black L</w:t>
      </w:r>
      <w:r>
        <w:rPr>
          <w:rFonts w:eastAsia="Calibri"/>
        </w:rPr>
        <w:t>aw Dictionary. New York: Thomson West press, 2009, p.1190.</w:t>
      </w:r>
    </w:p>
  </w:footnote>
  <w:footnote w:id="5">
    <w:p w:rsidR="00F773C6" w:rsidRDefault="00E51D61">
      <w:pPr>
        <w:rPr>
          <w:sz w:val="18"/>
          <w:szCs w:val="18"/>
        </w:rPr>
      </w:pPr>
      <w:r>
        <w:footnoteRef/>
      </w:r>
      <w:r>
        <w:rPr>
          <w:sz w:val="18"/>
          <w:szCs w:val="18"/>
        </w:rPr>
        <w:t xml:space="preserve"> </w:t>
      </w:r>
      <w:r>
        <w:rPr>
          <w:sz w:val="18"/>
          <w:szCs w:val="18"/>
        </w:rPr>
        <w:t>参见陈卫东：《认罪认罚从宽制度研究》，《中国法学》</w:t>
      </w:r>
      <w:r>
        <w:rPr>
          <w:sz w:val="18"/>
          <w:szCs w:val="18"/>
        </w:rPr>
        <w:t>2016</w:t>
      </w:r>
      <w:r>
        <w:rPr>
          <w:sz w:val="18"/>
          <w:szCs w:val="18"/>
        </w:rPr>
        <w:t>年第</w:t>
      </w:r>
      <w:r>
        <w:rPr>
          <w:sz w:val="18"/>
          <w:szCs w:val="18"/>
        </w:rPr>
        <w:t>2</w:t>
      </w:r>
      <w:r>
        <w:rPr>
          <w:sz w:val="18"/>
          <w:szCs w:val="18"/>
        </w:rPr>
        <w:t>期，</w:t>
      </w:r>
      <w:r>
        <w:rPr>
          <w:sz w:val="18"/>
          <w:szCs w:val="18"/>
        </w:rPr>
        <w:t>73.</w:t>
      </w:r>
      <w:r>
        <w:rPr>
          <w:sz w:val="18"/>
          <w:szCs w:val="18"/>
        </w:rPr>
        <w:t>页。</w:t>
      </w:r>
    </w:p>
  </w:footnote>
  <w:footnote w:id="6">
    <w:p w:rsidR="00F773C6" w:rsidRDefault="00E51D61">
      <w:r>
        <w:footnoteRef/>
      </w:r>
      <w:r>
        <w:rPr>
          <w:sz w:val="18"/>
          <w:szCs w:val="18"/>
        </w:rPr>
        <w:t xml:space="preserve"> </w:t>
      </w:r>
      <w:r>
        <w:rPr>
          <w:sz w:val="18"/>
          <w:szCs w:val="18"/>
        </w:rPr>
        <w:t>陈卫东：《认罪认罚从宽制度研究》，《社会科学文摘》</w:t>
      </w:r>
      <w:r>
        <w:rPr>
          <w:sz w:val="18"/>
          <w:szCs w:val="18"/>
        </w:rPr>
        <w:t>2016</w:t>
      </w:r>
      <w:r>
        <w:rPr>
          <w:sz w:val="18"/>
          <w:szCs w:val="18"/>
        </w:rPr>
        <w:t>年</w:t>
      </w:r>
      <w:r>
        <w:rPr>
          <w:sz w:val="18"/>
          <w:szCs w:val="18"/>
        </w:rPr>
        <w:t>5</w:t>
      </w:r>
      <w:r>
        <w:rPr>
          <w:sz w:val="18"/>
          <w:szCs w:val="18"/>
        </w:rPr>
        <w:t>月，</w:t>
      </w:r>
      <w:r>
        <w:rPr>
          <w:sz w:val="18"/>
          <w:szCs w:val="18"/>
        </w:rPr>
        <w:t>:73-74.</w:t>
      </w:r>
      <w:r>
        <w:rPr>
          <w:sz w:val="18"/>
          <w:szCs w:val="18"/>
        </w:rPr>
        <w:t>页</w:t>
      </w:r>
    </w:p>
  </w:footnote>
  <w:footnote w:id="7">
    <w:p w:rsidR="00F773C6" w:rsidRDefault="00E51D61">
      <w:r>
        <w:footnoteRef/>
      </w:r>
      <w:r>
        <w:rPr>
          <w:sz w:val="18"/>
          <w:szCs w:val="18"/>
        </w:rPr>
        <w:t xml:space="preserve"> </w:t>
      </w:r>
      <w:r>
        <w:rPr>
          <w:sz w:val="18"/>
          <w:szCs w:val="18"/>
        </w:rPr>
        <w:t>参见陈光中</w:t>
      </w:r>
      <w:r>
        <w:rPr>
          <w:sz w:val="18"/>
          <w:szCs w:val="18"/>
        </w:rPr>
        <w:t>,</w:t>
      </w:r>
      <w:r>
        <w:rPr>
          <w:sz w:val="18"/>
          <w:szCs w:val="18"/>
        </w:rPr>
        <w:t>马康：《认罪认罚从宽制度若干重要问题探讨》，《法学》</w:t>
      </w:r>
      <w:r>
        <w:rPr>
          <w:sz w:val="18"/>
          <w:szCs w:val="18"/>
        </w:rPr>
        <w:t>2016</w:t>
      </w:r>
      <w:r>
        <w:rPr>
          <w:sz w:val="18"/>
          <w:szCs w:val="18"/>
        </w:rPr>
        <w:t>年</w:t>
      </w:r>
      <w:r>
        <w:rPr>
          <w:sz w:val="18"/>
          <w:szCs w:val="18"/>
        </w:rPr>
        <w:t>8</w:t>
      </w:r>
      <w:r>
        <w:rPr>
          <w:sz w:val="18"/>
          <w:szCs w:val="18"/>
        </w:rPr>
        <w:t>月，</w:t>
      </w:r>
      <w:r>
        <w:rPr>
          <w:sz w:val="18"/>
          <w:szCs w:val="18"/>
        </w:rPr>
        <w:t>:3-11.</w:t>
      </w:r>
      <w:r>
        <w:rPr>
          <w:sz w:val="18"/>
          <w:szCs w:val="18"/>
        </w:rPr>
        <w:t>页。</w:t>
      </w:r>
    </w:p>
  </w:footnote>
  <w:footnote w:id="8">
    <w:p w:rsidR="00F773C6" w:rsidRDefault="00E51D61">
      <w:r>
        <w:footnoteRef/>
      </w:r>
      <w:r>
        <w:t xml:space="preserve"> </w:t>
      </w:r>
      <w:r>
        <w:t>参见祁亚平：《刑事庭审之事实认定研究》，甘肃人民出版社，</w:t>
      </w:r>
      <w:r>
        <w:t>2010</w:t>
      </w:r>
      <w:r>
        <w:t>年版。</w:t>
      </w:r>
    </w:p>
  </w:footnote>
  <w:footnote w:id="9">
    <w:p w:rsidR="00F773C6" w:rsidRDefault="00E51D61">
      <w:r>
        <w:footnoteRef/>
      </w:r>
      <w:r>
        <w:t xml:space="preserve"> </w:t>
      </w:r>
      <w:r>
        <w:t>宋英辉：《刑事和解制度研究》，北京大学出版社</w:t>
      </w:r>
      <w:r>
        <w:t>2011</w:t>
      </w:r>
      <w:r>
        <w:t>年，第</w:t>
      </w:r>
      <w:r>
        <w:t>77</w:t>
      </w:r>
      <w:r>
        <w:t>页。</w:t>
      </w:r>
    </w:p>
  </w:footnote>
  <w:footnote w:id="10">
    <w:p w:rsidR="00F773C6" w:rsidRDefault="00E51D61">
      <w:r>
        <w:footnoteRef/>
      </w:r>
      <w:r>
        <w:t xml:space="preserve"> </w:t>
      </w:r>
      <w:r>
        <w:t>参见陈光中：《辩诉交易在中国》，中国检察出版社</w:t>
      </w:r>
      <w:r>
        <w:t>2003</w:t>
      </w:r>
      <w:r>
        <w:t>年。</w:t>
      </w:r>
    </w:p>
  </w:footnote>
  <w:footnote w:id="11">
    <w:p w:rsidR="00F773C6" w:rsidRDefault="00E51D61">
      <w:r>
        <w:footnoteRef/>
      </w:r>
      <w:r>
        <w:t xml:space="preserve"> </w:t>
      </w:r>
      <w:r>
        <w:t>左卫民，周长军：《刑事诉讼的理念》，北京大学出版社，</w:t>
      </w:r>
      <w:r>
        <w:t>2014</w:t>
      </w:r>
      <w:r>
        <w:t>年．</w:t>
      </w:r>
    </w:p>
  </w:footnote>
  <w:footnote w:id="12">
    <w:p w:rsidR="00F773C6" w:rsidRDefault="00E51D61">
      <w:r>
        <w:footnoteRef/>
      </w:r>
      <w:r>
        <w:t xml:space="preserve"> </w:t>
      </w:r>
      <w:r>
        <w:t>参见</w:t>
      </w:r>
      <w:r>
        <w:t>2014</w:t>
      </w:r>
      <w:r>
        <w:t>年</w:t>
      </w:r>
      <w:r>
        <w:t>8</w:t>
      </w:r>
      <w:r>
        <w:t>月</w:t>
      </w:r>
      <w:r>
        <w:t>22</w:t>
      </w:r>
      <w:r>
        <w:t>日最高人民法院、最高人民检察院、公安部、司法部联合发布的《关于部分地区开展刑事案件速裁程序试点工作的办法》。</w:t>
      </w:r>
    </w:p>
  </w:footnote>
  <w:footnote w:id="13">
    <w:p w:rsidR="00F773C6" w:rsidRDefault="00E51D61">
      <w:r>
        <w:footnoteRef/>
      </w:r>
      <w:r>
        <w:t xml:space="preserve"> </w:t>
      </w:r>
      <w:r>
        <w:t>刘宇：《辩诉交易以及中国化探究》，硕士学问论文，吉林大学，</w:t>
      </w:r>
      <w:r>
        <w:t>2014</w:t>
      </w:r>
      <w:r>
        <w:t>年，</w:t>
      </w:r>
      <w:r>
        <w:t>5</w:t>
      </w:r>
      <w:r>
        <w:t>月，第</w:t>
      </w:r>
      <w:r>
        <w:t>3</w:t>
      </w:r>
      <w:r>
        <w:t>页。</w:t>
      </w:r>
    </w:p>
  </w:footnote>
  <w:footnote w:id="14">
    <w:p w:rsidR="00F773C6" w:rsidRDefault="00E51D61">
      <w:r>
        <w:footnoteRef/>
      </w:r>
      <w:r>
        <w:t xml:space="preserve"> </w:t>
      </w:r>
      <w:r>
        <w:t>李维、陈卫华：《刑事被告人认罪认罚从宽处理制度研究》，《菏泽学院学报》</w:t>
      </w:r>
      <w:r>
        <w:t>2016</w:t>
      </w:r>
      <w:r>
        <w:t>年</w:t>
      </w:r>
      <w:r>
        <w:t>6</w:t>
      </w:r>
      <w:r>
        <w:t>月第</w:t>
      </w:r>
      <w:r>
        <w:t>38</w:t>
      </w:r>
      <w:r>
        <w:t>卷第三期，</w:t>
      </w:r>
      <w:r>
        <w:t>93</w:t>
      </w:r>
      <w:r>
        <w:t>页。</w:t>
      </w:r>
    </w:p>
  </w:footnote>
  <w:footnote w:id="15">
    <w:p w:rsidR="00F773C6" w:rsidRDefault="00E51D61">
      <w:r>
        <w:footnoteRef/>
      </w:r>
      <w:r>
        <w:t xml:space="preserve"> </w:t>
      </w:r>
      <w:r>
        <w:t>参见谭世贵：《实体法与程序法双重视角下的认罪认罚从宽制度研究》，《法学杂志》</w:t>
      </w:r>
      <w:r>
        <w:t>2016</w:t>
      </w:r>
      <w:r>
        <w:t>年第</w:t>
      </w:r>
      <w:r>
        <w:t>8</w:t>
      </w:r>
      <w:r>
        <w:t>期，</w:t>
      </w:r>
      <w:r>
        <w:t>24</w:t>
      </w:r>
      <w:r>
        <w:t>页。</w:t>
      </w:r>
    </w:p>
  </w:footnote>
  <w:footnote w:id="16">
    <w:p w:rsidR="00F773C6" w:rsidRDefault="00E51D61">
      <w:r>
        <w:footnoteRef/>
      </w:r>
      <w:r>
        <w:t xml:space="preserve"> </w:t>
      </w:r>
      <w:r>
        <w:t>参见陈卫东：《认罪认罚从宽制度研究》，《中国法学》</w:t>
      </w:r>
      <w:r>
        <w:t>2016</w:t>
      </w:r>
      <w:r>
        <w:t>年</w:t>
      </w:r>
      <w:r>
        <w:t>2</w:t>
      </w:r>
      <w:r>
        <w:t>月，</w:t>
      </w:r>
      <w:r>
        <w:t>73</w:t>
      </w:r>
      <w:r>
        <w:t>页。</w:t>
      </w:r>
    </w:p>
  </w:footnote>
  <w:footnote w:id="17">
    <w:p w:rsidR="00F773C6" w:rsidRDefault="00E51D61">
      <w:r>
        <w:footnoteRef/>
      </w:r>
      <w:r>
        <w:t xml:space="preserve"> </w:t>
      </w:r>
      <w:r>
        <w:t>参见马贵翔：《辩诉交易本质之考量》，《辩诉交易在中国》，中国检察出版社，</w:t>
      </w:r>
      <w:r>
        <w:t>2003</w:t>
      </w:r>
      <w:r>
        <w:t>年，第</w:t>
      </w:r>
      <w:r>
        <w:t>120</w:t>
      </w:r>
      <w:r>
        <w:t>页。</w:t>
      </w:r>
    </w:p>
  </w:footnote>
  <w:footnote w:id="18">
    <w:p w:rsidR="00F773C6" w:rsidRDefault="00E51D61">
      <w:r>
        <w:footnoteRef/>
      </w:r>
      <w:r>
        <w:t xml:space="preserve"> </w:t>
      </w:r>
      <w:r>
        <w:t>参见陈卫东：《认罪认罚从宽制度研究》，《中国法学》</w:t>
      </w:r>
      <w:r>
        <w:t>2016</w:t>
      </w:r>
      <w:r>
        <w:t>年第</w:t>
      </w:r>
      <w:r>
        <w:t>2</w:t>
      </w:r>
      <w:r>
        <w:t>期，</w:t>
      </w:r>
      <w:r>
        <w:t>74</w:t>
      </w:r>
      <w:r>
        <w:t>页。</w:t>
      </w:r>
    </w:p>
  </w:footnote>
  <w:footnote w:id="19">
    <w:p w:rsidR="00F773C6" w:rsidRDefault="00E51D61">
      <w:r>
        <w:footnoteRef/>
      </w:r>
      <w:r>
        <w:rPr>
          <w:rFonts w:ascii="Tahoma" w:hAnsi="Tahoma" w:cs="Tahoma" w:hint="eastAsia"/>
          <w:color w:val="333333"/>
        </w:rPr>
        <w:t xml:space="preserve"> </w:t>
      </w:r>
      <w:r>
        <w:rPr>
          <w:rFonts w:ascii="Tahoma" w:hAnsi="Tahoma" w:cs="Tahoma" w:hint="eastAsia"/>
          <w:color w:val="333333"/>
        </w:rPr>
        <w:t>最高人民法院刑一庭课题组：《关于刑事案件速裁程序试点若干问题的思考》，《法律适用》</w:t>
      </w:r>
      <w:r>
        <w:rPr>
          <w:rFonts w:ascii="Tahoma" w:hAnsi="Tahoma" w:cs="Tahoma" w:hint="eastAsia"/>
          <w:color w:val="333333"/>
        </w:rPr>
        <w:t>2016</w:t>
      </w:r>
      <w:r>
        <w:rPr>
          <w:rFonts w:ascii="Tahoma" w:hAnsi="Tahoma" w:cs="Tahoma" w:hint="eastAsia"/>
          <w:color w:val="333333"/>
        </w:rPr>
        <w:t>年第</w:t>
      </w:r>
      <w:r>
        <w:rPr>
          <w:rFonts w:ascii="Tahoma" w:hAnsi="Tahoma" w:cs="Tahoma" w:hint="eastAsia"/>
          <w:color w:val="333333"/>
        </w:rPr>
        <w:t>4</w:t>
      </w:r>
      <w:r>
        <w:rPr>
          <w:rFonts w:ascii="Tahoma" w:hAnsi="Tahoma" w:cs="Tahoma" w:hint="eastAsia"/>
          <w:color w:val="333333"/>
        </w:rPr>
        <w:t>期。</w:t>
      </w:r>
    </w:p>
  </w:footnote>
  <w:footnote w:id="20">
    <w:p w:rsidR="00F773C6" w:rsidRDefault="00E51D61">
      <w:r>
        <w:footnoteRef/>
      </w:r>
      <w:r>
        <w:t xml:space="preserve"> </w:t>
      </w:r>
      <w:r>
        <w:t>参见孔令勇：《论刑事诉讼中的认罪认罚从宽制度》，《安徽大学学报</w:t>
      </w:r>
      <w:r>
        <w:t>(</w:t>
      </w:r>
      <w:r>
        <w:t>哲学社会科学版</w:t>
      </w:r>
      <w:r>
        <w:t>)</w:t>
      </w:r>
      <w:r>
        <w:t>》</w:t>
      </w:r>
      <w:r>
        <w:t>2016</w:t>
      </w:r>
      <w:r>
        <w:t>年第</w:t>
      </w:r>
      <w:r>
        <w:t>40</w:t>
      </w:r>
      <w:r>
        <w:t>期，</w:t>
      </w:r>
      <w:r>
        <w:t>153</w:t>
      </w:r>
      <w:r>
        <w:t>页。</w:t>
      </w:r>
    </w:p>
  </w:footnote>
  <w:footnote w:id="21">
    <w:p w:rsidR="00F773C6" w:rsidRDefault="00E51D61">
      <w:r>
        <w:footnoteRef/>
      </w:r>
      <w:r>
        <w:t xml:space="preserve"> </w:t>
      </w:r>
      <w:r>
        <w:t>参见陈卫东：《认罪认罚从宽制度研究》，《中国法学》</w:t>
      </w:r>
      <w:r>
        <w:t>2016</w:t>
      </w:r>
      <w:r>
        <w:t>年第</w:t>
      </w:r>
      <w:r>
        <w:t>2</w:t>
      </w:r>
      <w:r>
        <w:t>期。</w:t>
      </w:r>
    </w:p>
  </w:footnote>
  <w:footnote w:id="22">
    <w:p w:rsidR="00F773C6" w:rsidRDefault="00E51D61">
      <w:r>
        <w:footnoteRef/>
      </w:r>
      <w:r>
        <w:t xml:space="preserve"> </w:t>
      </w:r>
      <w:r>
        <w:t>李建明：《辩诉交易中的正义保障》，《辩诉交易在中国》，中国检察出版社，</w:t>
      </w:r>
      <w:r>
        <w:t>2003</w:t>
      </w:r>
      <w:r>
        <w:t>年版，</w:t>
      </w:r>
      <w:r>
        <w:t>137</w:t>
      </w:r>
      <w:r>
        <w:t>页。</w:t>
      </w:r>
    </w:p>
  </w:footnote>
  <w:footnote w:id="23">
    <w:p w:rsidR="00F773C6" w:rsidRDefault="00E51D61">
      <w:r>
        <w:footnoteRef/>
      </w:r>
      <w:r>
        <w:t xml:space="preserve"> </w:t>
      </w:r>
      <w:r>
        <w:t>参见甄贞主编：《刑事诉讼法学研究综述》，法律出版社</w:t>
      </w:r>
      <w:r>
        <w:t>2002</w:t>
      </w:r>
      <w:r>
        <w:t>年版。</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524C"/>
    <w:multiLevelType w:val="singleLevel"/>
    <w:tmpl w:val="CEE23BC8"/>
    <w:name w:val="编号列表 3"/>
    <w:lvl w:ilvl="0">
      <w:start w:val="3"/>
      <w:numFmt w:val="chineseCounting"/>
      <w:suff w:val="nothing"/>
      <w:lvlText w:val="%1、"/>
      <w:lvlJc w:val="left"/>
      <w:pPr>
        <w:ind w:left="0" w:firstLine="0"/>
      </w:pPr>
    </w:lvl>
  </w:abstractNum>
  <w:abstractNum w:abstractNumId="1">
    <w:nsid w:val="1D4B6B05"/>
    <w:multiLevelType w:val="singleLevel"/>
    <w:tmpl w:val="B4022CFE"/>
    <w:name w:val="Bullet 9"/>
    <w:lvl w:ilvl="0">
      <w:start w:val="3"/>
      <w:numFmt w:val="chineseCounting"/>
      <w:lvlText w:val="%1"/>
      <w:lvlJc w:val="left"/>
      <w:pPr>
        <w:tabs>
          <w:tab w:val="num" w:pos="0"/>
        </w:tabs>
        <w:ind w:left="0" w:firstLine="0"/>
      </w:pPr>
    </w:lvl>
  </w:abstractNum>
  <w:abstractNum w:abstractNumId="2">
    <w:nsid w:val="2BE241EB"/>
    <w:multiLevelType w:val="multilevel"/>
    <w:tmpl w:val="47E2F732"/>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3">
    <w:nsid w:val="32812C58"/>
    <w:multiLevelType w:val="singleLevel"/>
    <w:tmpl w:val="AD96EBF4"/>
    <w:name w:val="Bullet 5"/>
    <w:lvl w:ilvl="0">
      <w:start w:val="1"/>
      <w:numFmt w:val="lowerLetter"/>
      <w:lvlText w:val="%1"/>
      <w:lvlJc w:val="left"/>
      <w:pPr>
        <w:tabs>
          <w:tab w:val="num" w:pos="0"/>
        </w:tabs>
        <w:ind w:left="0" w:firstLine="0"/>
      </w:pPr>
    </w:lvl>
  </w:abstractNum>
  <w:abstractNum w:abstractNumId="4">
    <w:nsid w:val="3C7216CA"/>
    <w:multiLevelType w:val="singleLevel"/>
    <w:tmpl w:val="0C961CDE"/>
    <w:name w:val="Bullet 7"/>
    <w:lvl w:ilvl="0">
      <w:start w:val="1"/>
      <w:numFmt w:val="decimal"/>
      <w:lvlText w:val="%1"/>
      <w:lvlJc w:val="left"/>
      <w:pPr>
        <w:tabs>
          <w:tab w:val="num" w:pos="0"/>
        </w:tabs>
        <w:ind w:left="0" w:firstLine="0"/>
      </w:pPr>
    </w:lvl>
  </w:abstractNum>
  <w:abstractNum w:abstractNumId="5">
    <w:nsid w:val="3DA23CA0"/>
    <w:multiLevelType w:val="singleLevel"/>
    <w:tmpl w:val="F042DABC"/>
    <w:name w:val="编号列表 2"/>
    <w:lvl w:ilvl="0">
      <w:start w:val="2"/>
      <w:numFmt w:val="chineseCounting"/>
      <w:suff w:val="nothing"/>
      <w:lvlText w:val="（%1）"/>
      <w:lvlJc w:val="left"/>
      <w:pPr>
        <w:ind w:left="0" w:firstLine="0"/>
      </w:pPr>
    </w:lvl>
  </w:abstractNum>
  <w:abstractNum w:abstractNumId="6">
    <w:nsid w:val="4F843B87"/>
    <w:multiLevelType w:val="singleLevel"/>
    <w:tmpl w:val="F190C0FE"/>
    <w:name w:val="Bullet 6"/>
    <w:lvl w:ilvl="0">
      <w:start w:val="1"/>
      <w:numFmt w:val="lowerRoman"/>
      <w:lvlText w:val="%1"/>
      <w:lvlJc w:val="left"/>
      <w:pPr>
        <w:tabs>
          <w:tab w:val="num" w:pos="0"/>
        </w:tabs>
        <w:ind w:left="0" w:firstLine="0"/>
      </w:pPr>
    </w:lvl>
  </w:abstractNum>
  <w:abstractNum w:abstractNumId="7">
    <w:nsid w:val="5AAE1FF8"/>
    <w:multiLevelType w:val="singleLevel"/>
    <w:tmpl w:val="5434E13C"/>
    <w:name w:val="Bullet 8"/>
    <w:lvl w:ilvl="0">
      <w:start w:val="2"/>
      <w:numFmt w:val="chineseCounting"/>
      <w:lvlText w:val="%1"/>
      <w:lvlJc w:val="left"/>
      <w:pPr>
        <w:tabs>
          <w:tab w:val="num" w:pos="0"/>
        </w:tabs>
        <w:ind w:left="0" w:firstLine="0"/>
      </w:pPr>
    </w:lvl>
  </w:abstractNum>
  <w:abstractNum w:abstractNumId="8">
    <w:nsid w:val="5FA51783"/>
    <w:multiLevelType w:val="singleLevel"/>
    <w:tmpl w:val="7332AF10"/>
    <w:name w:val="编号列表 1"/>
    <w:lvl w:ilvl="0">
      <w:start w:val="2"/>
      <w:numFmt w:val="chineseCounting"/>
      <w:suff w:val="nothing"/>
      <w:lvlText w:val="%1、"/>
      <w:lvlJc w:val="left"/>
      <w:pPr>
        <w:ind w:left="0" w:firstLine="0"/>
      </w:pPr>
    </w:lvl>
  </w:abstractNum>
  <w:abstractNum w:abstractNumId="9">
    <w:nsid w:val="6DEE132A"/>
    <w:multiLevelType w:val="singleLevel"/>
    <w:tmpl w:val="E2206D52"/>
    <w:name w:val="Bullet 4"/>
    <w:lvl w:ilvl="0">
      <w:start w:val="1"/>
      <w:numFmt w:val="japaneseCounting"/>
      <w:lvlText w:val="%1"/>
      <w:lvlJc w:val="left"/>
      <w:pPr>
        <w:tabs>
          <w:tab w:val="num" w:pos="0"/>
        </w:tabs>
        <w:ind w:left="0" w:firstLine="0"/>
      </w:pPr>
    </w:lvl>
  </w:abstractNum>
  <w:num w:numId="1">
    <w:abstractNumId w:val="8"/>
  </w:num>
  <w:num w:numId="2">
    <w:abstractNumId w:val="5"/>
  </w:num>
  <w:num w:numId="3">
    <w:abstractNumId w:val="0"/>
  </w:num>
  <w:num w:numId="4">
    <w:abstractNumId w:val="9"/>
  </w:num>
  <w:num w:numId="5">
    <w:abstractNumId w:val="3"/>
  </w:num>
  <w:num w:numId="6">
    <w:abstractNumId w:val="6"/>
  </w:num>
  <w:num w:numId="7">
    <w:abstractNumId w:val="4"/>
  </w:num>
  <w:num w:numId="8">
    <w:abstractNumId w:val="7"/>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characterSpacingControl w:val="doNotCompress"/>
  <w:footnotePr>
    <w:numRestart w:val="eachPage"/>
    <w:footnote w:id="-1"/>
    <w:footnote w:id="0"/>
  </w:footnotePr>
  <w:endnotePr>
    <w:numFmt w:val="decimal"/>
    <w:endnote w:id="-1"/>
    <w:endnote w:id="0"/>
  </w:endnotePr>
  <w:compat>
    <w:doNotExpandShiftReturn/>
    <w:useFELayout/>
  </w:compat>
  <w:rsids>
    <w:rsidRoot w:val="00F773C6"/>
    <w:rsid w:val="003C73B4"/>
    <w:rsid w:val="00E51D61"/>
    <w:rsid w:val="00F77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F773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er">
    <w:name w:val="Footer"/>
    <w:qFormat/>
    <w:rsid w:val="00F773C6"/>
    <w:pPr>
      <w:tabs>
        <w:tab w:val="center" w:pos="4153"/>
        <w:tab w:val="right" w:pos="8306"/>
      </w:tabs>
      <w:jc w:val="left"/>
    </w:pPr>
    <w:rPr>
      <w:sz w:val="18"/>
      <w:szCs w:val="18"/>
    </w:rPr>
  </w:style>
  <w:style w:type="paragraph" w:customStyle="1" w:styleId="Header">
    <w:name w:val="Header"/>
    <w:qFormat/>
    <w:rsid w:val="00F773C6"/>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FootnoteText">
    <w:name w:val="Footnote Text"/>
    <w:qFormat/>
    <w:rsid w:val="00F773C6"/>
    <w:pPr>
      <w:jc w:val="left"/>
    </w:pPr>
    <w:rPr>
      <w:sz w:val="18"/>
      <w:szCs w:val="18"/>
    </w:rPr>
  </w:style>
  <w:style w:type="paragraph" w:customStyle="1" w:styleId="1">
    <w:name w:val="列出段落1"/>
    <w:qFormat/>
    <w:rsid w:val="00F773C6"/>
    <w:pPr>
      <w:ind w:firstLine="420"/>
    </w:pPr>
  </w:style>
  <w:style w:type="paragraph" w:styleId="a3">
    <w:name w:val="List Paragraph"/>
    <w:qFormat/>
    <w:rsid w:val="00F773C6"/>
    <w:pPr>
      <w:ind w:firstLine="420"/>
    </w:pPr>
  </w:style>
  <w:style w:type="character" w:customStyle="1" w:styleId="FootnoteReference">
    <w:name w:val="Footnote Reference"/>
    <w:rsid w:val="00F773C6"/>
    <w:rPr>
      <w:vertAlign w:val="superscript"/>
    </w:rPr>
  </w:style>
  <w:style w:type="character" w:customStyle="1" w:styleId="Char">
    <w:name w:val="页眉 Char"/>
    <w:rsid w:val="00F773C6"/>
    <w:rPr>
      <w:sz w:val="18"/>
      <w:szCs w:val="18"/>
    </w:rPr>
  </w:style>
  <w:style w:type="character" w:customStyle="1" w:styleId="Char0">
    <w:name w:val="页脚 Char"/>
    <w:rsid w:val="00F773C6"/>
    <w:rPr>
      <w:sz w:val="18"/>
      <w:szCs w:val="18"/>
    </w:rPr>
  </w:style>
  <w:style w:type="character" w:customStyle="1" w:styleId="Char1">
    <w:name w:val="脚注文本 Char"/>
    <w:rsid w:val="00F773C6"/>
    <w:rPr>
      <w:rFonts w:ascii="Calibri" w:eastAsia="宋体" w:hAnsi="Calibri" w:cs="Times New Roman"/>
      <w:sz w:val="18"/>
      <w:szCs w:val="18"/>
    </w:rPr>
  </w:style>
  <w:style w:type="character" w:styleId="a4">
    <w:name w:val="Strong"/>
    <w:rsid w:val="00F773C6"/>
    <w:rPr>
      <w:b/>
      <w:bCs/>
    </w:rPr>
  </w:style>
  <w:style w:type="character" w:customStyle="1" w:styleId="apple-converted-space">
    <w:name w:val="apple-converted-space"/>
    <w:rsid w:val="00F773C6"/>
  </w:style>
  <w:style w:type="character" w:customStyle="1" w:styleId="high-light">
    <w:name w:val="high-light"/>
    <w:rsid w:val="00F773C6"/>
  </w:style>
  <w:style w:type="character" w:customStyle="1" w:styleId="high-light-bg">
    <w:name w:val="high-light-bg"/>
    <w:rsid w:val="00F77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note Text"/>
    <w:qFormat/>
    <w:basedOn w:val=""/>
    <w:pPr>
      <w:spacing/>
      <w:jc w:val="left"/>
    </w:pPr>
    <w:rPr>
      <w:sz w:val="18"/>
      <w:szCs w:val="18"/>
    </w:rPr>
  </w:style>
  <w:style w:type="paragraph" w:styleId="1" w:customStyle="1">
    <w:name w:val="列出段落1"/>
    <w:qFormat/>
    <w:basedOn w:val=""/>
    <w:pPr>
      <w:ind w:firstLine="420"/>
    </w:pPr>
  </w:style>
  <w:style w:type="paragraph" w:styleId="">
    <w:name w:val="List Paragraph"/>
    <w:qFormat/>
    <w:basedOn w:val=""/>
    <w:pPr>
      <w:ind w:firstLine="420"/>
    </w:pPr>
  </w:style>
  <w:style w:type="character" w:styleId="" w:default="1">
    <w:name w:val="Default Paragraph Font"/>
    <w:rPr>
      <w:rFonts w:ascii="Times New Roman" w:hAnsi="Times New Roman"/>
      <w:kern w:val="0"/>
      <w:sz w:val="20"/>
      <w:szCs w:val="20"/>
    </w:rPr>
  </w:style>
  <w:style w:type="character" w:styleId="">
    <w:name w:val="Footnote Reference"/>
    <w:basedOn w:val=""/>
    <w:rPr>
      <w:vertAlign w:val="superscript"/>
    </w:rPr>
  </w:style>
  <w:style w:type="character" w:styleId="Char" w:customStyle="1">
    <w:name w:val="页眉 Char"/>
    <w:basedOn w:val=""/>
    <w:rPr>
      <w:sz w:val="18"/>
      <w:szCs w:val="18"/>
    </w:rPr>
  </w:style>
  <w:style w:type="character" w:styleId="Char" w:customStyle="1">
    <w:name w:val="页脚 Char"/>
    <w:basedOn w:val=""/>
    <w:rPr>
      <w:sz w:val="18"/>
      <w:szCs w:val="18"/>
    </w:rPr>
  </w:style>
  <w:style w:type="character" w:styleId="Char" w:customStyle="1">
    <w:name w:val="脚注文本 Char"/>
    <w:basedOn w:val=""/>
    <w:rPr>
      <w:rFonts w:ascii="Calibri" w:hAnsi="Calibri" w:eastAsia="宋体" w:cs="Times New Roman"/>
      <w:sz w:val="18"/>
      <w:szCs w:val="18"/>
    </w:rPr>
  </w:style>
  <w:style w:type="character" w:styleId="">
    <w:name w:val="Strong"/>
    <w:basedOn w:val=""/>
    <w:rPr>
      <w:b/>
      <w:bCs/>
    </w:rPr>
  </w:style>
  <w:style w:type="character" w:styleId="apple-converted-space" w:customStyle="1">
    <w:name w:val="apple-converted-space"/>
    <w:basedOn w:val=""/>
  </w:style>
  <w:style w:type="character" w:styleId="high-light" w:customStyle="1">
    <w:name w:val="high-light"/>
    <w:basedOn w:val=""/>
  </w:style>
  <w:style w:type="character" w:styleId="high-light-bg" w:customStyle="1">
    <w:name w:val="high-light-bg"/>
    <w:basedOn w:val=""/>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lawlib</dc:creator>
  <cp:lastModifiedBy>xbany</cp:lastModifiedBy>
  <cp:revision>2</cp:revision>
  <dcterms:created xsi:type="dcterms:W3CDTF">2017-10-21T02:58:00Z</dcterms:created>
  <dcterms:modified xsi:type="dcterms:W3CDTF">2017-10-21T02:58:00Z</dcterms:modified>
</cp:coreProperties>
</file>