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A3" w:rsidRDefault="00CD5FCB">
      <w:pPr>
        <w:jc w:val="center"/>
        <w:rPr>
          <w:rFonts w:ascii="Calibri Light" w:eastAsia="Calibri Light" w:hAnsi="Calibri Light"/>
          <w:b/>
          <w:bCs/>
          <w:sz w:val="30"/>
          <w:szCs w:val="30"/>
        </w:rPr>
      </w:pPr>
      <w:r>
        <w:rPr>
          <w:rFonts w:ascii="Calibri Light" w:eastAsia="Calibri Light" w:hAnsi="Calibri Light" w:hint="eastAsia"/>
          <w:b/>
          <w:bCs/>
          <w:sz w:val="30"/>
          <w:szCs w:val="30"/>
        </w:rPr>
        <w:t>航空港区物流金融发展水平测度及影响因素分析</w:t>
      </w:r>
      <w:r>
        <w:rPr>
          <w:rFonts w:ascii="Calibri Light" w:eastAsia="Calibri Light" w:hAnsi="Calibri Light"/>
          <w:b/>
          <w:bCs/>
          <w:sz w:val="30"/>
          <w:szCs w:val="30"/>
        </w:rPr>
        <w:footnoteReference w:customMarkFollows="1" w:id="1"/>
        <w:t>*</w:t>
      </w:r>
    </w:p>
    <w:p w:rsidR="00BE26A3" w:rsidRDefault="00CD5FCB">
      <w:pPr>
        <w:jc w:val="center"/>
        <w:rPr>
          <w:rFonts w:ascii="Calibri Light" w:eastAsia="Calibri Light" w:hAnsi="Calibri Light"/>
          <w:b/>
          <w:bCs/>
          <w:sz w:val="30"/>
          <w:szCs w:val="30"/>
        </w:rPr>
      </w:pPr>
      <w:r>
        <w:rPr>
          <w:rFonts w:ascii="Calibri Light" w:eastAsia="Calibri Light" w:hAnsi="Calibri Light" w:hint="eastAsia"/>
          <w:b/>
          <w:bCs/>
          <w:sz w:val="30"/>
          <w:szCs w:val="30"/>
        </w:rPr>
        <w:t>——基于因子分析的方法</w:t>
      </w:r>
    </w:p>
    <w:p w:rsidR="00BE26A3" w:rsidRDefault="00CD5FCB">
      <w:pPr>
        <w:jc w:val="center"/>
        <w:rPr>
          <w:rFonts w:ascii="Calibri Light" w:eastAsia="Calibri Light" w:hAnsi="Calibri Light"/>
          <w:sz w:val="24"/>
        </w:rPr>
      </w:pPr>
      <w:r>
        <w:rPr>
          <w:rFonts w:ascii="Calibri Light" w:eastAsia="Calibri Light" w:hAnsi="Calibri Light" w:hint="eastAsia"/>
          <w:sz w:val="24"/>
        </w:rPr>
        <w:t>刘霞</w:t>
      </w:r>
      <w:r>
        <w:rPr>
          <w:rFonts w:ascii="Calibri Light" w:eastAsia="Calibri Light" w:hAnsi="Calibri Light" w:hint="eastAsia"/>
          <w:sz w:val="24"/>
        </w:rPr>
        <w:t xml:space="preserve"> </w:t>
      </w:r>
      <w:r>
        <w:rPr>
          <w:rFonts w:ascii="Calibri Light" w:eastAsia="Calibri Light" w:hAnsi="Calibri Light" w:hint="eastAsia"/>
          <w:sz w:val="24"/>
        </w:rPr>
        <w:t>白敏</w:t>
      </w:r>
    </w:p>
    <w:p w:rsidR="00BE26A3" w:rsidRDefault="00CD5FCB">
      <w:pPr>
        <w:jc w:val="center"/>
        <w:rPr>
          <w:rFonts w:ascii="Calibri Light" w:eastAsia="Calibri Light" w:hAnsi="Calibri Light"/>
          <w:sz w:val="24"/>
        </w:rPr>
      </w:pPr>
      <w:r>
        <w:rPr>
          <w:rFonts w:ascii="Calibri Light" w:eastAsia="Calibri Light" w:hAnsi="Calibri Light" w:hint="eastAsia"/>
          <w:sz w:val="24"/>
        </w:rPr>
        <w:t>（河南</w:t>
      </w:r>
      <w:r>
        <w:rPr>
          <w:rFonts w:ascii="Calibri Light" w:eastAsia="Calibri Light" w:hAnsi="Calibri Light" w:hint="eastAsia"/>
          <w:sz w:val="24"/>
        </w:rPr>
        <w:t xml:space="preserve"> </w:t>
      </w:r>
      <w:r>
        <w:rPr>
          <w:rFonts w:ascii="Calibri Light" w:eastAsia="Calibri Light" w:hAnsi="Calibri Light" w:hint="eastAsia"/>
          <w:sz w:val="24"/>
        </w:rPr>
        <w:t>郑州</w:t>
      </w:r>
      <w:r>
        <w:rPr>
          <w:rFonts w:ascii="Calibri Light" w:eastAsia="Calibri Light" w:hAnsi="Calibri Light" w:hint="eastAsia"/>
          <w:sz w:val="24"/>
        </w:rPr>
        <w:t xml:space="preserve"> </w:t>
      </w:r>
      <w:r>
        <w:rPr>
          <w:rFonts w:ascii="Calibri Light" w:eastAsia="Calibri Light" w:hAnsi="Calibri Light" w:hint="eastAsia"/>
          <w:sz w:val="24"/>
        </w:rPr>
        <w:t>郑州大学</w:t>
      </w:r>
      <w:r>
        <w:rPr>
          <w:rFonts w:ascii="Calibri Light" w:eastAsia="Calibri Light" w:hAnsi="Calibri Light" w:hint="eastAsia"/>
          <w:sz w:val="24"/>
        </w:rPr>
        <w:t xml:space="preserve"> </w:t>
      </w:r>
      <w:r>
        <w:rPr>
          <w:rFonts w:ascii="Calibri Light" w:eastAsia="Calibri Light" w:hAnsi="Calibri Light" w:hint="eastAsia"/>
          <w:sz w:val="24"/>
        </w:rPr>
        <w:t>商学院）</w:t>
      </w:r>
    </w:p>
    <w:p w:rsidR="00BE26A3" w:rsidRDefault="00CD5FCB">
      <w:pPr>
        <w:spacing w:line="300" w:lineRule="auto"/>
        <w:jc w:val="left"/>
        <w:rPr>
          <w:rFonts w:ascii="黑体" w:eastAsia="黑体" w:hAnsi="黑体" w:cs="黑体"/>
          <w:sz w:val="24"/>
        </w:rPr>
      </w:pPr>
      <w:r>
        <w:rPr>
          <w:rFonts w:ascii="Calibri Light" w:eastAsia="Calibri Light" w:hAnsi="Calibri Light" w:hint="eastAsia"/>
          <w:b/>
          <w:bCs/>
          <w:sz w:val="24"/>
        </w:rPr>
        <w:t>摘要：</w:t>
      </w:r>
      <w:r>
        <w:rPr>
          <w:sz w:val="24"/>
        </w:rPr>
        <w:t>当前我国经济正处在结构调整、动力转换的新常态，金融体系具有的便利清算和支付、聚集和分配资源以及分散风险的功能能够积极推进航空港区企业的供给侧结构性改革。</w:t>
      </w:r>
      <w:r>
        <w:rPr>
          <w:sz w:val="24"/>
        </w:rPr>
        <w:t>“</w:t>
      </w:r>
      <w:r>
        <w:rPr>
          <w:sz w:val="24"/>
        </w:rPr>
        <w:t>一带一路</w:t>
      </w:r>
      <w:r>
        <w:rPr>
          <w:sz w:val="24"/>
        </w:rPr>
        <w:t>”</w:t>
      </w:r>
      <w:r>
        <w:rPr>
          <w:sz w:val="24"/>
        </w:rPr>
        <w:t>战略的实施为我国港区企业发展带来新的契机，然而资金约束</w:t>
      </w:r>
      <w:bookmarkStart w:id="0" w:name="_GoBack"/>
      <w:bookmarkEnd w:id="0"/>
      <w:r>
        <w:rPr>
          <w:sz w:val="24"/>
        </w:rPr>
        <w:t>已成为企业发展的瓶颈，物流金融的发展迫在眉睫。我国物流金融起步晚，发展水平不高，同时存在区域差异。文章采用因子分析法对全国</w:t>
      </w:r>
      <w:r>
        <w:rPr>
          <w:sz w:val="24"/>
        </w:rPr>
        <w:t>11</w:t>
      </w:r>
      <w:r>
        <w:rPr>
          <w:sz w:val="24"/>
        </w:rPr>
        <w:t>个航空港区物流金融发展水平进行测度，进而客观排序，并提出影响物流金融发展的关键因素，最终从物流金融链的参与主体：物流企业、融资企业以及金融机构提出促进港区物流金融发展的对策建议。</w:t>
      </w:r>
    </w:p>
    <w:p w:rsidR="00BE26A3" w:rsidRDefault="00CD5FCB">
      <w:pPr>
        <w:jc w:val="left"/>
        <w:rPr>
          <w:sz w:val="24"/>
        </w:rPr>
      </w:pPr>
      <w:r>
        <w:rPr>
          <w:rFonts w:ascii="Calibri Light" w:eastAsia="Calibri Light" w:hAnsi="Calibri Light" w:hint="eastAsia"/>
          <w:b/>
          <w:bCs/>
          <w:sz w:val="24"/>
        </w:rPr>
        <w:t>关键词</w:t>
      </w:r>
      <w:r>
        <w:rPr>
          <w:b/>
          <w:bCs/>
          <w:sz w:val="24"/>
        </w:rPr>
        <w:t>：</w:t>
      </w:r>
      <w:r>
        <w:rPr>
          <w:sz w:val="24"/>
        </w:rPr>
        <w:t>航空港区；物流金融；因子分析</w:t>
      </w:r>
    </w:p>
    <w:p w:rsidR="00BE26A3" w:rsidRDefault="00CD5FCB">
      <w:pPr>
        <w:jc w:val="center"/>
        <w:rPr>
          <w:rFonts w:ascii="Times New Roman" w:hAnsi="Times New Roman"/>
          <w:b/>
          <w:bCs/>
          <w:sz w:val="30"/>
          <w:szCs w:val="30"/>
        </w:rPr>
      </w:pPr>
      <w:r>
        <w:rPr>
          <w:rFonts w:ascii="Times New Roman" w:hAnsi="Times New Roman"/>
          <w:b/>
          <w:bCs/>
          <w:sz w:val="30"/>
          <w:szCs w:val="30"/>
        </w:rPr>
        <w:t xml:space="preserve">Research on Logistics Finance Development Level </w:t>
      </w:r>
      <w:r>
        <w:rPr>
          <w:rFonts w:ascii="Times New Roman" w:hAnsi="Times New Roman" w:hint="eastAsia"/>
          <w:b/>
          <w:bCs/>
          <w:sz w:val="30"/>
          <w:szCs w:val="30"/>
        </w:rPr>
        <w:t xml:space="preserve">and Influencing Factors </w:t>
      </w:r>
      <w:r>
        <w:rPr>
          <w:rFonts w:ascii="Times New Roman" w:hAnsi="Times New Roman"/>
          <w:b/>
          <w:bCs/>
          <w:sz w:val="30"/>
          <w:szCs w:val="30"/>
        </w:rPr>
        <w:t>in Aviation Port Based on Factor Analysis</w:t>
      </w:r>
    </w:p>
    <w:p w:rsidR="00BE26A3" w:rsidRDefault="00CD5FCB">
      <w:pPr>
        <w:spacing w:line="420" w:lineRule="exact"/>
        <w:ind w:firstLine="482"/>
        <w:jc w:val="center"/>
        <w:rPr>
          <w:rFonts w:ascii="Times New Roman" w:hAnsi="Times New Roman"/>
          <w:sz w:val="24"/>
        </w:rPr>
      </w:pPr>
      <w:r>
        <w:rPr>
          <w:rFonts w:ascii="Times New Roman" w:hAnsi="Times New Roman" w:hint="eastAsia"/>
          <w:sz w:val="24"/>
        </w:rPr>
        <w:t>Liu Xia  Bai Min</w:t>
      </w:r>
    </w:p>
    <w:p w:rsidR="00BE26A3" w:rsidRDefault="00CD5FCB">
      <w:pPr>
        <w:spacing w:line="420" w:lineRule="exact"/>
        <w:ind w:firstLine="482"/>
        <w:jc w:val="center"/>
        <w:rPr>
          <w:rFonts w:ascii="Times New Roman" w:hAnsi="Times New Roman"/>
          <w:sz w:val="24"/>
        </w:rPr>
      </w:pPr>
      <w:r>
        <w:rPr>
          <w:rFonts w:ascii="Times New Roman" w:hAnsi="Times New Roman" w:hint="eastAsia"/>
          <w:sz w:val="24"/>
        </w:rPr>
        <w:t>(Henan Province  Zhengzhou  Zhengzhou University  Business School)</w:t>
      </w:r>
    </w:p>
    <w:p w:rsidR="00BE26A3" w:rsidRDefault="00CD5FCB">
      <w:pPr>
        <w:jc w:val="left"/>
        <w:rPr>
          <w:rFonts w:ascii="Times New Roman" w:hAnsi="Times New Roman"/>
          <w:b/>
          <w:bCs/>
          <w:sz w:val="24"/>
        </w:rPr>
      </w:pPr>
      <w:r>
        <w:rPr>
          <w:rFonts w:ascii="Times New Roman" w:hAnsi="Times New Roman" w:hint="eastAsia"/>
          <w:b/>
          <w:bCs/>
          <w:sz w:val="24"/>
        </w:rPr>
        <w:t>Abstract:</w:t>
      </w:r>
      <w:r>
        <w:rPr>
          <w:rFonts w:ascii="Times New Roman" w:hAnsi="Times New Roman" w:hint="eastAsia"/>
          <w:sz w:val="24"/>
        </w:rPr>
        <w:t xml:space="preserve">China's economy is in the new normal of structural adjustment and power conversion,the financial </w:t>
      </w:r>
      <w:r>
        <w:rPr>
          <w:rFonts w:ascii="Times New Roman" w:hAnsi="Times New Roman" w:hint="eastAsia"/>
          <w:sz w:val="24"/>
        </w:rPr>
        <w:t xml:space="preserve">system has the functions of facilitating liquidation and payment, aggregating and allocating resources, and scattering risk,so it can actively promote the aviation port enterprises supply side structural reforms.The implementation of the strategy"the Belt </w:t>
      </w:r>
      <w:r>
        <w:rPr>
          <w:rFonts w:ascii="Times New Roman" w:hAnsi="Times New Roman" w:hint="eastAsia"/>
          <w:sz w:val="24"/>
        </w:rPr>
        <w:t xml:space="preserve">and Road"brings new opportunities for the development of enterprises in China,but capital constraints has become the bottleneck of enterprise development,so the development of logistics finance is imminent.China's logistics finance started late, the level </w:t>
      </w:r>
      <w:r>
        <w:rPr>
          <w:rFonts w:ascii="Times New Roman" w:hAnsi="Times New Roman" w:hint="eastAsia"/>
          <w:sz w:val="24"/>
        </w:rPr>
        <w:t>of development is not high, while there are regional differences.This paper uses the factor analysis method to measure the development level of logistics finance of 11 airports in China,and then objective sorting,and puts forward the key factors influencin</w:t>
      </w:r>
      <w:r>
        <w:rPr>
          <w:rFonts w:ascii="Times New Roman" w:hAnsi="Times New Roman" w:hint="eastAsia"/>
          <w:sz w:val="24"/>
        </w:rPr>
        <w:t>g the development of logistics finance.Finally point out the countermeasures to promote the development of logistics finance in Zhengzhou aviation port area.</w:t>
      </w:r>
    </w:p>
    <w:p w:rsidR="00BE26A3" w:rsidRDefault="00CD5FCB">
      <w:pPr>
        <w:jc w:val="left"/>
        <w:rPr>
          <w:rFonts w:ascii="Times New Roman" w:hAnsi="Times New Roman"/>
          <w:sz w:val="24"/>
        </w:rPr>
      </w:pPr>
      <w:r>
        <w:rPr>
          <w:rFonts w:ascii="Times New Roman" w:hAnsi="Times New Roman" w:hint="eastAsia"/>
          <w:b/>
          <w:bCs/>
          <w:sz w:val="24"/>
        </w:rPr>
        <w:t xml:space="preserve">Key words: </w:t>
      </w:r>
      <w:r>
        <w:rPr>
          <w:rFonts w:ascii="Times New Roman" w:hAnsi="Times New Roman" w:hint="eastAsia"/>
          <w:sz w:val="24"/>
        </w:rPr>
        <w:t>Airports;Logistics Finance;Factor Analysis</w:t>
      </w:r>
    </w:p>
    <w:p w:rsidR="00BE26A3" w:rsidRDefault="00CD5FCB">
      <w:pPr>
        <w:jc w:val="left"/>
        <w:rPr>
          <w:rFonts w:ascii="Calibri Light" w:eastAsia="Calibri Light" w:hAnsi="Calibri Light"/>
          <w:b/>
          <w:bCs/>
          <w:sz w:val="28"/>
          <w:szCs w:val="28"/>
        </w:rPr>
      </w:pPr>
      <w:r>
        <w:rPr>
          <w:rFonts w:ascii="Calibri Light" w:eastAsia="Calibri Light" w:hAnsi="Calibri Light" w:hint="eastAsia"/>
          <w:b/>
          <w:bCs/>
          <w:sz w:val="28"/>
          <w:szCs w:val="28"/>
        </w:rPr>
        <w:t>一、引言</w:t>
      </w:r>
    </w:p>
    <w:p w:rsidR="00BE26A3" w:rsidRDefault="00CD5FCB">
      <w:pPr>
        <w:spacing w:line="300" w:lineRule="auto"/>
        <w:ind w:firstLine="480"/>
        <w:jc w:val="left"/>
        <w:rPr>
          <w:sz w:val="24"/>
        </w:rPr>
      </w:pPr>
      <w:r>
        <w:rPr>
          <w:sz w:val="24"/>
        </w:rPr>
        <w:t>2015</w:t>
      </w:r>
      <w:r>
        <w:rPr>
          <w:sz w:val="24"/>
        </w:rPr>
        <w:t>年</w:t>
      </w:r>
      <w:r>
        <w:rPr>
          <w:sz w:val="24"/>
        </w:rPr>
        <w:t>3</w:t>
      </w:r>
      <w:r>
        <w:rPr>
          <w:sz w:val="24"/>
        </w:rPr>
        <w:t>月，一带一路战略的实施对于航空港区的发展注入了新的加速剂，内陆口岸</w:t>
      </w:r>
      <w:r>
        <w:rPr>
          <w:sz w:val="24"/>
        </w:rPr>
        <w:t>与沿海、沿边口岸的通关合作和产业合作将进一步增强，加工贸易模</w:t>
      </w:r>
      <w:r>
        <w:rPr>
          <w:sz w:val="24"/>
        </w:rPr>
        <w:lastRenderedPageBreak/>
        <w:t>式和跨境贸易电子商务服务创新也将不断开展。与之相适应，发展物流金融的呼声日益高涨。然而，从现实来看，国内港区的物流金融发展水平差异较大，郑州航空港区的物流金融发展水平在全国处于什么地位并没有一个统一的定论。从理论来看，目前国内外已有的研究成果多集中在概念、物流金融发展模式以及风险管理等方面。首先，有关物流金融的概念，国内的物流金融来源于物资银行业务、仓单质押业务以及融通仓业务的实践总结。陈淮（</w:t>
      </w:r>
      <w:r>
        <w:rPr>
          <w:sz w:val="24"/>
        </w:rPr>
        <w:t>1987</w:t>
      </w:r>
      <w:r>
        <w:rPr>
          <w:sz w:val="24"/>
        </w:rPr>
        <w:t>）</w:t>
      </w:r>
      <w:r>
        <w:rPr>
          <w:noProof/>
        </w:rPr>
        <w:drawing>
          <wp:inline distT="0" distB="0" distL="114300" distR="114300">
            <wp:extent cx="142875" cy="18097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HPsP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wAAAAAgAAAAAAAAAAAAAAAAAAAAAAAAAAAAAAAAAAAAAAAAAAAAADhAAAAHQEAAAAAAAAAAAAAAAAAAA=="/>
                        </a:ext>
                      </a:extLst>
                    </pic:cNvPicPr>
                  </pic:nvPicPr>
                  <pic:blipFill>
                    <a:blip r:embed="rId7" cstate="print"/>
                    <a:stretch>
                      <a:fillRect/>
                    </a:stretch>
                  </pic:blipFill>
                  <pic:spPr>
                    <a:xfrm>
                      <a:off x="0" y="0"/>
                      <a:ext cx="142875" cy="180975"/>
                    </a:xfrm>
                    <a:prstGeom prst="rect">
                      <a:avLst/>
                    </a:prstGeom>
                    <a:noFill/>
                    <a:ln w="12700">
                      <a:noFill/>
                    </a:ln>
                  </pic:spPr>
                </pic:pic>
              </a:graphicData>
            </a:graphic>
          </wp:inline>
        </w:drawing>
      </w:r>
      <w:r>
        <w:rPr>
          <w:sz w:val="24"/>
        </w:rPr>
        <w:t>最早提出了关于构建物资银行的设想，后逐渐由其</w:t>
      </w:r>
      <w:r>
        <w:rPr>
          <w:sz w:val="24"/>
        </w:rPr>
        <w:t>他学者提出物流金融的概念，</w:t>
      </w:r>
      <w:r>
        <w:rPr>
          <w:sz w:val="24"/>
        </w:rPr>
        <w:t>“</w:t>
      </w:r>
      <w:r>
        <w:rPr>
          <w:sz w:val="24"/>
        </w:rPr>
        <w:t>面向物流业的运营，通过开发、提供和应用各种金融产品和金融服务，有效地组织和调剂物流领域中资金和信用的运动，达到信息流、物流和资金流的有机统一</w:t>
      </w:r>
      <w:r>
        <w:rPr>
          <w:sz w:val="24"/>
        </w:rPr>
        <w:t>”</w:t>
      </w:r>
      <w:r>
        <w:rPr>
          <w:sz w:val="24"/>
        </w:rPr>
        <w:t>（邹小芃、唐元琦，</w:t>
      </w:r>
      <w:r>
        <w:rPr>
          <w:sz w:val="24"/>
        </w:rPr>
        <w:t>2004</w:t>
      </w:r>
      <w:r>
        <w:rPr>
          <w:sz w:val="24"/>
        </w:rPr>
        <w:t>）</w:t>
      </w:r>
      <w:r>
        <w:rPr>
          <w:noProof/>
        </w:rPr>
        <w:drawing>
          <wp:inline distT="0" distB="0" distL="114300" distR="114300">
            <wp:extent cx="142875" cy="180975"/>
            <wp:effectExtent l="0" t="0" r="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HPsP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wAAAAAgAAAAAAAAAAAAAAAAAAAAAAAAAAAAAAAAAAAAAAAAAAAAADhAAAAHQEAAAAAAAAAAAAAAAAAAA=="/>
                        </a:ext>
                      </a:extLst>
                    </pic:cNvPicPr>
                  </pic:nvPicPr>
                  <pic:blipFill>
                    <a:blip r:embed="rId8" cstate="print"/>
                    <a:stretch>
                      <a:fillRect/>
                    </a:stretch>
                  </pic:blipFill>
                  <pic:spPr>
                    <a:xfrm>
                      <a:off x="0" y="0"/>
                      <a:ext cx="142875" cy="180975"/>
                    </a:xfrm>
                    <a:prstGeom prst="rect">
                      <a:avLst/>
                    </a:prstGeom>
                    <a:noFill/>
                    <a:ln w="12700">
                      <a:noFill/>
                    </a:ln>
                  </pic:spPr>
                </pic:pic>
              </a:graphicData>
            </a:graphic>
          </wp:inline>
        </w:drawing>
      </w:r>
      <w:r>
        <w:rPr>
          <w:sz w:val="24"/>
        </w:rPr>
        <w:t>。其次，有关物流金融发展模式的研究，</w:t>
      </w:r>
      <w:r>
        <w:rPr>
          <w:sz w:val="24"/>
        </w:rPr>
        <w:t>Fenmore (2004)</w:t>
      </w:r>
      <w:r>
        <w:rPr>
          <w:noProof/>
        </w:rPr>
        <w:drawing>
          <wp:inline distT="0" distB="0" distL="114300" distR="114300">
            <wp:extent cx="133350" cy="180975"/>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HPsP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wAAAAAgAAAAAAAAAAAAAAAAAAAAAAAAAAAAAAAAAAAAAAAAAAAAADSAAAAHQEAAAAAAAAAAAAAAAAAAA=="/>
                        </a:ext>
                      </a:extLst>
                    </pic:cNvPicPr>
                  </pic:nvPicPr>
                  <pic:blipFill>
                    <a:blip r:embed="rId9" cstate="print"/>
                    <a:stretch>
                      <a:fillRect/>
                    </a:stretch>
                  </pic:blipFill>
                  <pic:spPr>
                    <a:xfrm>
                      <a:off x="0" y="0"/>
                      <a:ext cx="133350" cy="180975"/>
                    </a:xfrm>
                    <a:prstGeom prst="rect">
                      <a:avLst/>
                    </a:prstGeom>
                    <a:noFill/>
                    <a:ln w="12700">
                      <a:noFill/>
                    </a:ln>
                  </pic:spPr>
                </pic:pic>
              </a:graphicData>
            </a:graphic>
          </wp:inline>
        </w:drawing>
      </w:r>
      <w:r>
        <w:rPr>
          <w:sz w:val="24"/>
        </w:rPr>
        <w:t>针对物流金融中的订单融资业务，指出中小型企业在缺乏质押物的情况下可以采用订单融资解决季节性或者是临时性的资金需求。巫钢和姚伊娜（</w:t>
      </w:r>
      <w:r>
        <w:rPr>
          <w:sz w:val="24"/>
        </w:rPr>
        <w:t>2007</w:t>
      </w:r>
      <w:r>
        <w:rPr>
          <w:sz w:val="24"/>
        </w:rPr>
        <w:t>）</w:t>
      </w:r>
      <w:r>
        <w:rPr>
          <w:noProof/>
        </w:rPr>
        <w:drawing>
          <wp:inline distT="0" distB="0" distL="114300" distR="114300">
            <wp:extent cx="142875" cy="180975"/>
            <wp:effectExtent l="0" t="0" r="0" b="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HPsP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wAAAAAgAAAAAAAAAAAAAAAAAAAAAAAAAAAAAAAAAAAAAAAAAAAAADhAAAAHQEAAAAAAAAAAAAAAAAAAA=="/>
                        </a:ext>
                      </a:extLst>
                    </pic:cNvPicPr>
                  </pic:nvPicPr>
                  <pic:blipFill>
                    <a:blip r:embed="rId10" cstate="print"/>
                    <a:stretch>
                      <a:fillRect/>
                    </a:stretch>
                  </pic:blipFill>
                  <pic:spPr>
                    <a:xfrm>
                      <a:off x="0" y="0"/>
                      <a:ext cx="142875" cy="180975"/>
                    </a:xfrm>
                    <a:prstGeom prst="rect">
                      <a:avLst/>
                    </a:prstGeom>
                    <a:noFill/>
                    <a:ln w="12700">
                      <a:noFill/>
                    </a:ln>
                  </pic:spPr>
                </pic:pic>
              </a:graphicData>
            </a:graphic>
          </wp:inline>
        </w:drawing>
      </w:r>
      <w:r>
        <w:rPr>
          <w:sz w:val="24"/>
        </w:rPr>
        <w:t>将期权理论用于分析物流金融运作的特点，并将物流金融业务模式分为买方客户授信和卖方客户授信。最后，有关物流金</w:t>
      </w:r>
      <w:r>
        <w:rPr>
          <w:sz w:val="24"/>
        </w:rPr>
        <w:t>融风险管理的研究，</w:t>
      </w:r>
      <w:r>
        <w:rPr>
          <w:sz w:val="24"/>
        </w:rPr>
        <w:t>Berling&amp;Rosling</w:t>
      </w:r>
      <w:r>
        <w:rPr>
          <w:sz w:val="24"/>
        </w:rPr>
        <w:t>（</w:t>
      </w:r>
      <w:r>
        <w:rPr>
          <w:sz w:val="24"/>
        </w:rPr>
        <w:t>2005</w:t>
      </w:r>
      <w:r>
        <w:rPr>
          <w:sz w:val="24"/>
        </w:rPr>
        <w:t>）</w:t>
      </w:r>
      <w:r>
        <w:rPr>
          <w:noProof/>
        </w:rPr>
        <w:drawing>
          <wp:inline distT="0" distB="0" distL="114300" distR="114300">
            <wp:extent cx="142875" cy="180975"/>
            <wp:effectExtent l="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HPsP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wAAAAAgAAAAAAAAAAAAAAAAAAAAAAAAAAAAAAAAAAAAAAAAAAAAADhAAAAHQEAAAAAAAAAAAAAAAAAAA=="/>
                        </a:ext>
                      </a:extLst>
                    </pic:cNvPicPr>
                  </pic:nvPicPr>
                  <pic:blipFill>
                    <a:blip r:embed="rId11" cstate="print"/>
                    <a:stretch>
                      <a:fillRect/>
                    </a:stretch>
                  </pic:blipFill>
                  <pic:spPr>
                    <a:xfrm>
                      <a:off x="0" y="0"/>
                      <a:ext cx="142875" cy="180975"/>
                    </a:xfrm>
                    <a:prstGeom prst="rect">
                      <a:avLst/>
                    </a:prstGeom>
                    <a:noFill/>
                    <a:ln w="12700">
                      <a:noFill/>
                    </a:ln>
                  </pic:spPr>
                </pic:pic>
              </a:graphicData>
            </a:graphic>
          </wp:inline>
        </w:drawing>
      </w:r>
      <w:r>
        <w:rPr>
          <w:sz w:val="24"/>
        </w:rPr>
        <w:t>从需求不确定性、库存维持成本及采购价格不确定性分析对库存策略的影响。李毅学，汪寿阳，冯耕中（</w:t>
      </w:r>
      <w:r>
        <w:rPr>
          <w:sz w:val="24"/>
        </w:rPr>
        <w:t>2011</w:t>
      </w:r>
      <w:r>
        <w:rPr>
          <w:sz w:val="24"/>
        </w:rPr>
        <w:t>）</w:t>
      </w:r>
      <w:r>
        <w:rPr>
          <w:noProof/>
        </w:rPr>
        <w:drawing>
          <wp:inline distT="0" distB="0" distL="114300" distR="114300">
            <wp:extent cx="142875" cy="180975"/>
            <wp:effectExtent l="0" t="0" r="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HPsP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wAAAAAgAAAAAAAAAAAAAAAAAAAAAAAAAAAAAAAAAAAAAAAAAAAAADhAAAAHQEAAAAAAAAAAAAAAAAAAA=="/>
                        </a:ext>
                      </a:extLst>
                    </pic:cNvPicPr>
                  </pic:nvPicPr>
                  <pic:blipFill>
                    <a:blip r:embed="rId12" cstate="print"/>
                    <a:stretch>
                      <a:fillRect/>
                    </a:stretch>
                  </pic:blipFill>
                  <pic:spPr>
                    <a:xfrm>
                      <a:off x="0" y="0"/>
                      <a:ext cx="142875" cy="180975"/>
                    </a:xfrm>
                    <a:prstGeom prst="rect">
                      <a:avLst/>
                    </a:prstGeom>
                    <a:noFill/>
                    <a:ln w="12700">
                      <a:noFill/>
                    </a:ln>
                  </pic:spPr>
                </pic:pic>
              </a:graphicData>
            </a:graphic>
          </wp:inline>
        </w:drawing>
      </w:r>
      <w:r>
        <w:rPr>
          <w:sz w:val="24"/>
        </w:rPr>
        <w:t>研究了物流企业的最优质押率决策，并指出对初始质押存货不同的融资企业，物流企业的最优质押率决策将受到贷款下侧风险限制的不同影响。</w:t>
      </w:r>
    </w:p>
    <w:p w:rsidR="00BE26A3" w:rsidRDefault="00CD5FCB">
      <w:pPr>
        <w:spacing w:line="300" w:lineRule="auto"/>
        <w:ind w:firstLine="480"/>
        <w:jc w:val="left"/>
        <w:rPr>
          <w:sz w:val="24"/>
        </w:rPr>
      </w:pPr>
      <w:r>
        <w:rPr>
          <w:sz w:val="24"/>
        </w:rPr>
        <w:t>物流金融发展水平的测度是物流金融进一步发展的基础和条件，然而对此的研究几乎是空白。因此，文章拟对国内</w:t>
      </w:r>
      <w:r>
        <w:rPr>
          <w:sz w:val="24"/>
        </w:rPr>
        <w:t>11</w:t>
      </w:r>
      <w:r>
        <w:rPr>
          <w:sz w:val="24"/>
        </w:rPr>
        <w:t>个航空港区的物流金融发展水平进行因子分析并排序，进而立足郑州港区的发展提出相应对策建议。</w:t>
      </w:r>
    </w:p>
    <w:p w:rsidR="00BE26A3" w:rsidRDefault="00CD5FCB">
      <w:pPr>
        <w:jc w:val="left"/>
        <w:rPr>
          <w:rFonts w:ascii="Calibri Light" w:eastAsia="Calibri Light" w:hAnsi="Calibri Light"/>
          <w:b/>
          <w:bCs/>
          <w:sz w:val="28"/>
          <w:szCs w:val="28"/>
        </w:rPr>
      </w:pPr>
      <w:r>
        <w:rPr>
          <w:rFonts w:ascii="Calibri Light" w:eastAsia="Calibri Light" w:hAnsi="Calibri Light" w:hint="eastAsia"/>
          <w:b/>
          <w:bCs/>
          <w:sz w:val="28"/>
          <w:szCs w:val="28"/>
        </w:rPr>
        <w:t>二、航空港区物流金融发展</w:t>
      </w:r>
      <w:r>
        <w:rPr>
          <w:rFonts w:ascii="Calibri Light" w:eastAsia="Calibri Light" w:hAnsi="Calibri Light" w:hint="eastAsia"/>
          <w:b/>
          <w:bCs/>
          <w:sz w:val="28"/>
          <w:szCs w:val="28"/>
        </w:rPr>
        <w:t>水平测度的指标体系构建</w:t>
      </w:r>
    </w:p>
    <w:p w:rsidR="00BE26A3" w:rsidRDefault="00CD5FCB">
      <w:pPr>
        <w:spacing w:line="300" w:lineRule="auto"/>
        <w:ind w:firstLine="480"/>
        <w:jc w:val="left"/>
        <w:rPr>
          <w:sz w:val="24"/>
        </w:rPr>
      </w:pPr>
      <w:r>
        <w:rPr>
          <w:sz w:val="24"/>
        </w:rPr>
        <w:t>中国民用航空发展十二五规划将环渤海地区、长三角地区和珠三角地区作为国际航空货运枢纽重点发展，涉及北京、天津、大连、青岛、济南、石家庄、上海、杭州、南京、广州、深圳，另加强了沈阳、厦门、郑州、武汉、成都、重庆、昆明和西安等机场航空货运枢纽的建设。因此，文章选取北京、上海、天津、广州、深圳、成都、大连、郑州、西安、昆明、杭州共十一个城市的数据指标，对不同航空港区物流金融的发展水平进行测度分析。</w:t>
      </w:r>
    </w:p>
    <w:p w:rsidR="00BE26A3" w:rsidRDefault="00CD5FCB">
      <w:pPr>
        <w:spacing w:line="300" w:lineRule="auto"/>
        <w:jc w:val="left"/>
        <w:rPr>
          <w:b/>
          <w:bCs/>
          <w:sz w:val="24"/>
        </w:rPr>
      </w:pPr>
      <w:r>
        <w:rPr>
          <w:b/>
          <w:bCs/>
          <w:sz w:val="24"/>
        </w:rPr>
        <w:t>（一）研究方法说明</w:t>
      </w:r>
    </w:p>
    <w:p w:rsidR="00BE26A3" w:rsidRDefault="00CD5FCB">
      <w:pPr>
        <w:spacing w:line="300" w:lineRule="auto"/>
        <w:ind w:firstLine="480"/>
        <w:jc w:val="left"/>
        <w:rPr>
          <w:sz w:val="24"/>
        </w:rPr>
      </w:pPr>
      <w:r>
        <w:rPr>
          <w:sz w:val="24"/>
        </w:rPr>
        <w:t>物流金融的发展受多种因素的影响，如何从众多因素中找出少数几个影响物流金融发展的关键因素，对物流金融发展研究的简化具有重要作用。在保证研究的客观性以及研究结果有说服力的前提下，经过综合比较，文章最终选取因子分析法来衡量各航空港区物流金融的发展水平。</w:t>
      </w:r>
    </w:p>
    <w:p w:rsidR="00BE26A3" w:rsidRDefault="00CD5FCB">
      <w:pPr>
        <w:spacing w:line="300" w:lineRule="auto"/>
        <w:ind w:firstLine="480"/>
        <w:jc w:val="left"/>
        <w:rPr>
          <w:szCs w:val="21"/>
        </w:rPr>
      </w:pPr>
      <w:r>
        <w:rPr>
          <w:sz w:val="24"/>
        </w:rPr>
        <w:t>因子分析的目的主要是用较少的相互独立的因子反映原有变量的绝大部分信息，有效降低原始变量维数，它是主成分分析的推广和发展。借助</w:t>
      </w:r>
      <w:r>
        <w:rPr>
          <w:sz w:val="24"/>
        </w:rPr>
        <w:t>SPSS</w:t>
      </w:r>
      <w:r>
        <w:rPr>
          <w:sz w:val="24"/>
        </w:rPr>
        <w:t>数据</w:t>
      </w:r>
      <w:r>
        <w:rPr>
          <w:sz w:val="24"/>
        </w:rPr>
        <w:lastRenderedPageBreak/>
        <w:t>处理软件，因子分析法的基本步骤包括：首先，将初始数据进行标准化处理，计算初始变量的简单相关系数矩阵并判断是否适合进行因子分析；其</w:t>
      </w:r>
      <w:r>
        <w:rPr>
          <w:sz w:val="24"/>
        </w:rPr>
        <w:t>次，建立因子模型并估计有关参数，确定因子贡献率及累计贡献率；最后，变换因子载荷矩阵，构造综合评价模型．最终计算出总得分值。</w:t>
      </w:r>
    </w:p>
    <w:p w:rsidR="00BE26A3" w:rsidRDefault="00CD5FCB">
      <w:pPr>
        <w:spacing w:line="300" w:lineRule="auto"/>
        <w:jc w:val="left"/>
        <w:rPr>
          <w:b/>
          <w:bCs/>
          <w:sz w:val="24"/>
        </w:rPr>
      </w:pPr>
      <w:r>
        <w:rPr>
          <w:b/>
          <w:bCs/>
          <w:sz w:val="24"/>
        </w:rPr>
        <w:t>（二）指标的选取</w:t>
      </w:r>
    </w:p>
    <w:p w:rsidR="00BE26A3" w:rsidRDefault="00CD5FCB">
      <w:pPr>
        <w:spacing w:line="300" w:lineRule="auto"/>
        <w:ind w:firstLine="480"/>
        <w:jc w:val="left"/>
        <w:rPr>
          <w:sz w:val="24"/>
        </w:rPr>
      </w:pPr>
      <w:r>
        <w:rPr>
          <w:sz w:val="24"/>
        </w:rPr>
        <w:t>物流金融主要涉及三方主体：物流企业，融资企业和金融机构，物流企业与金融机构联合起来为融资企业提供资金。物流金融作为融资模式的一种体现了商品流、资金流以及信息流的统一。因此，文章选取了商品流、资金流以及信息流为一级指标。首先，商品的流通离不开生产企业的发展以及负责运输、仓储的物流业的发展；其次，资金的流通与当地的经济发展水平以及金融业的服务水平紧密相关；最后，基础设施及</w:t>
      </w:r>
      <w:r>
        <w:rPr>
          <w:sz w:val="24"/>
        </w:rPr>
        <w:t>信息化建设很大程度上决定了物流金融发展中信息的流通。由此，文章选取了与一级指标相对应的二级指标以及能够体现二级指标的具体的三级指标，具体数据来源于</w:t>
      </w:r>
      <w:r>
        <w:rPr>
          <w:sz w:val="24"/>
        </w:rPr>
        <w:t>2014</w:t>
      </w:r>
      <w:r>
        <w:rPr>
          <w:sz w:val="24"/>
        </w:rPr>
        <w:t>年各市统计局官网，如表</w:t>
      </w:r>
      <w:r>
        <w:rPr>
          <w:sz w:val="24"/>
        </w:rPr>
        <w:t>1-1</w:t>
      </w:r>
      <w:r>
        <w:rPr>
          <w:sz w:val="24"/>
        </w:rPr>
        <w:t>所示：</w:t>
      </w:r>
    </w:p>
    <w:p w:rsidR="00BE26A3" w:rsidRDefault="00CD5FCB">
      <w:pPr>
        <w:spacing w:line="320" w:lineRule="atLeast"/>
        <w:ind w:left="60" w:right="60"/>
        <w:jc w:val="center"/>
        <w:rPr>
          <w:b/>
          <w:sz w:val="18"/>
          <w:szCs w:val="18"/>
        </w:rPr>
      </w:pPr>
      <w:r>
        <w:rPr>
          <w:b/>
          <w:sz w:val="18"/>
          <w:szCs w:val="18"/>
        </w:rPr>
        <w:t>表</w:t>
      </w:r>
      <w:r>
        <w:rPr>
          <w:b/>
          <w:sz w:val="18"/>
          <w:szCs w:val="18"/>
        </w:rPr>
        <w:t>1-1</w:t>
      </w:r>
    </w:p>
    <w:tbl>
      <w:tblPr>
        <w:tblW w:w="7661" w:type="dxa"/>
        <w:jc w:val="center"/>
        <w:tblCellMar>
          <w:left w:w="10" w:type="dxa"/>
          <w:right w:w="10" w:type="dxa"/>
        </w:tblCellMar>
        <w:tblLook w:val="0000"/>
      </w:tblPr>
      <w:tblGrid>
        <w:gridCol w:w="1260"/>
        <w:gridCol w:w="1575"/>
        <w:gridCol w:w="4826"/>
      </w:tblGrid>
      <w:tr w:rsidR="00BE26A3">
        <w:tblPrEx>
          <w:tblCellMar>
            <w:top w:w="0" w:type="dxa"/>
            <w:bottom w:w="0" w:type="dxa"/>
          </w:tblCellMar>
        </w:tblPrEx>
        <w:trPr>
          <w:jc w:val="center"/>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一级指标</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二级指标</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三级指标</w:t>
            </w:r>
          </w:p>
        </w:tc>
      </w:tr>
      <w:tr w:rsidR="00BE26A3">
        <w:tblPrEx>
          <w:tblCellMar>
            <w:top w:w="0" w:type="dxa"/>
            <w:bottom w:w="0" w:type="dxa"/>
          </w:tblCellMar>
        </w:tblPrEx>
        <w:trPr>
          <w:trHeight w:val="157"/>
          <w:jc w:val="center"/>
        </w:trPr>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pPr>
              <w:jc w:val="center"/>
              <w:rPr>
                <w:sz w:val="18"/>
                <w:szCs w:val="18"/>
              </w:rPr>
            </w:pPr>
          </w:p>
          <w:p w:rsidR="00BE26A3" w:rsidRDefault="00BE26A3">
            <w:pPr>
              <w:jc w:val="center"/>
              <w:rPr>
                <w:sz w:val="18"/>
                <w:szCs w:val="18"/>
              </w:rPr>
            </w:pPr>
          </w:p>
          <w:p w:rsidR="00BE26A3" w:rsidRDefault="00BE26A3">
            <w:pPr>
              <w:jc w:val="center"/>
              <w:rPr>
                <w:sz w:val="18"/>
                <w:szCs w:val="18"/>
              </w:rPr>
            </w:pPr>
          </w:p>
          <w:p w:rsidR="00BE26A3" w:rsidRDefault="00BE26A3">
            <w:pPr>
              <w:jc w:val="center"/>
              <w:rPr>
                <w:sz w:val="18"/>
                <w:szCs w:val="18"/>
              </w:rPr>
            </w:pPr>
          </w:p>
          <w:p w:rsidR="00BE26A3" w:rsidRDefault="00CD5FCB">
            <w:pPr>
              <w:jc w:val="center"/>
              <w:rPr>
                <w:sz w:val="18"/>
                <w:szCs w:val="18"/>
              </w:rPr>
            </w:pPr>
            <w:r>
              <w:rPr>
                <w:sz w:val="18"/>
                <w:szCs w:val="18"/>
              </w:rPr>
              <w:t>1.</w:t>
            </w:r>
            <w:r>
              <w:rPr>
                <w:sz w:val="18"/>
                <w:szCs w:val="18"/>
              </w:rPr>
              <w:t>商品流</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pPr>
              <w:jc w:val="center"/>
              <w:rPr>
                <w:sz w:val="18"/>
                <w:szCs w:val="18"/>
              </w:rPr>
            </w:pPr>
          </w:p>
          <w:p w:rsidR="00BE26A3" w:rsidRDefault="00BE26A3">
            <w:pPr>
              <w:jc w:val="center"/>
              <w:rPr>
                <w:sz w:val="18"/>
                <w:szCs w:val="18"/>
              </w:rPr>
            </w:pPr>
          </w:p>
          <w:p w:rsidR="00BE26A3" w:rsidRDefault="00CD5FCB">
            <w:pPr>
              <w:jc w:val="center"/>
              <w:rPr>
                <w:sz w:val="18"/>
                <w:szCs w:val="18"/>
              </w:rPr>
            </w:pPr>
            <w:r>
              <w:rPr>
                <w:sz w:val="18"/>
                <w:szCs w:val="18"/>
              </w:rPr>
              <w:t>1.1</w:t>
            </w:r>
            <w:r>
              <w:rPr>
                <w:sz w:val="18"/>
                <w:szCs w:val="18"/>
              </w:rPr>
              <w:t>企业发展</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1.1.1</w:t>
            </w:r>
            <w:r>
              <w:rPr>
                <w:sz w:val="18"/>
                <w:szCs w:val="18"/>
              </w:rPr>
              <w:t>规模以上工业企业个数（个）</w:t>
            </w:r>
          </w:p>
        </w:tc>
      </w:tr>
      <w:tr w:rsidR="00BE26A3">
        <w:tblPrEx>
          <w:tblCellMar>
            <w:top w:w="0" w:type="dxa"/>
            <w:bottom w:w="0" w:type="dxa"/>
          </w:tblCellMar>
        </w:tblPrEx>
        <w:trPr>
          <w:trHeight w:val="165"/>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1.1.2</w:t>
            </w:r>
            <w:r>
              <w:rPr>
                <w:sz w:val="18"/>
                <w:szCs w:val="18"/>
              </w:rPr>
              <w:t>规模以上工业总产值（万元）</w:t>
            </w:r>
          </w:p>
        </w:tc>
      </w:tr>
      <w:tr w:rsidR="00BE26A3">
        <w:tblPrEx>
          <w:tblCellMar>
            <w:top w:w="0" w:type="dxa"/>
            <w:bottom w:w="0" w:type="dxa"/>
          </w:tblCellMar>
        </w:tblPrEx>
        <w:trPr>
          <w:trHeight w:val="146"/>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1.1.3</w:t>
            </w:r>
            <w:r>
              <w:rPr>
                <w:sz w:val="18"/>
                <w:szCs w:val="18"/>
              </w:rPr>
              <w:t>规模以上工业企业流动资产合计（万元）</w:t>
            </w:r>
          </w:p>
        </w:tc>
      </w:tr>
      <w:tr w:rsidR="00BE26A3">
        <w:tblPrEx>
          <w:tblCellMar>
            <w:top w:w="0" w:type="dxa"/>
            <w:bottom w:w="0" w:type="dxa"/>
          </w:tblCellMar>
        </w:tblPrEx>
        <w:trPr>
          <w:trHeight w:val="176"/>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1.1.4</w:t>
            </w:r>
            <w:r>
              <w:rPr>
                <w:sz w:val="18"/>
                <w:szCs w:val="18"/>
              </w:rPr>
              <w:t>规模以上工业企业固定资产合计（万元）</w:t>
            </w:r>
          </w:p>
        </w:tc>
      </w:tr>
      <w:tr w:rsidR="00BE26A3">
        <w:tblPrEx>
          <w:tblCellMar>
            <w:top w:w="0" w:type="dxa"/>
            <w:bottom w:w="0" w:type="dxa"/>
          </w:tblCellMar>
        </w:tblPrEx>
        <w:trPr>
          <w:trHeight w:val="186"/>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1.1.5</w:t>
            </w:r>
            <w:r>
              <w:rPr>
                <w:sz w:val="18"/>
                <w:szCs w:val="18"/>
              </w:rPr>
              <w:t>规模以上工业企业利润总额（万元）</w:t>
            </w:r>
          </w:p>
        </w:tc>
      </w:tr>
      <w:tr w:rsidR="00BE26A3">
        <w:tblPrEx>
          <w:tblCellMar>
            <w:top w:w="0" w:type="dxa"/>
            <w:bottom w:w="0" w:type="dxa"/>
          </w:tblCellMar>
        </w:tblPrEx>
        <w:trPr>
          <w:trHeight w:val="196"/>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pPr>
              <w:jc w:val="center"/>
              <w:rPr>
                <w:sz w:val="18"/>
                <w:szCs w:val="18"/>
              </w:rPr>
            </w:pPr>
          </w:p>
          <w:p w:rsidR="00BE26A3" w:rsidRDefault="00CD5FCB">
            <w:pPr>
              <w:jc w:val="center"/>
              <w:rPr>
                <w:sz w:val="18"/>
                <w:szCs w:val="18"/>
              </w:rPr>
            </w:pPr>
            <w:r>
              <w:rPr>
                <w:sz w:val="18"/>
                <w:szCs w:val="18"/>
              </w:rPr>
              <w:t>1.2</w:t>
            </w:r>
            <w:r>
              <w:rPr>
                <w:sz w:val="18"/>
                <w:szCs w:val="18"/>
              </w:rPr>
              <w:t>物流业发展</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1.2.1</w:t>
            </w:r>
            <w:r>
              <w:rPr>
                <w:sz w:val="18"/>
                <w:szCs w:val="18"/>
              </w:rPr>
              <w:t>交通运输、仓储及邮政业从业人员（万人）</w:t>
            </w:r>
          </w:p>
        </w:tc>
      </w:tr>
      <w:tr w:rsidR="00BE26A3">
        <w:tblPrEx>
          <w:tblCellMar>
            <w:top w:w="0" w:type="dxa"/>
            <w:bottom w:w="0" w:type="dxa"/>
          </w:tblCellMar>
        </w:tblPrEx>
        <w:trPr>
          <w:trHeight w:val="157"/>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1.2.2</w:t>
            </w:r>
            <w:r>
              <w:rPr>
                <w:sz w:val="18"/>
                <w:szCs w:val="18"/>
              </w:rPr>
              <w:t>年末邮政局（所）数（处）</w:t>
            </w:r>
          </w:p>
        </w:tc>
      </w:tr>
      <w:tr w:rsidR="00BE26A3">
        <w:tblPrEx>
          <w:tblCellMar>
            <w:top w:w="0" w:type="dxa"/>
            <w:bottom w:w="0" w:type="dxa"/>
          </w:tblCellMar>
        </w:tblPrEx>
        <w:trPr>
          <w:trHeight w:val="134"/>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1.2.3</w:t>
            </w:r>
            <w:r>
              <w:rPr>
                <w:sz w:val="18"/>
                <w:szCs w:val="18"/>
              </w:rPr>
              <w:t>邮政业务收入（万元）</w:t>
            </w:r>
          </w:p>
        </w:tc>
      </w:tr>
      <w:tr w:rsidR="00BE26A3">
        <w:tblPrEx>
          <w:tblCellMar>
            <w:top w:w="0" w:type="dxa"/>
            <w:bottom w:w="0" w:type="dxa"/>
          </w:tblCellMar>
        </w:tblPrEx>
        <w:trPr>
          <w:trHeight w:val="92"/>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1.2.4</w:t>
            </w:r>
            <w:r>
              <w:rPr>
                <w:sz w:val="18"/>
                <w:szCs w:val="18"/>
              </w:rPr>
              <w:t>电信业务收入（万元）</w:t>
            </w:r>
          </w:p>
        </w:tc>
      </w:tr>
      <w:tr w:rsidR="00BE26A3">
        <w:tblPrEx>
          <w:tblCellMar>
            <w:top w:w="0" w:type="dxa"/>
            <w:bottom w:w="0" w:type="dxa"/>
          </w:tblCellMar>
        </w:tblPrEx>
        <w:trPr>
          <w:trHeight w:val="157"/>
          <w:jc w:val="center"/>
        </w:trPr>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pPr>
              <w:jc w:val="center"/>
              <w:rPr>
                <w:sz w:val="18"/>
                <w:szCs w:val="18"/>
              </w:rPr>
            </w:pPr>
          </w:p>
          <w:p w:rsidR="00BE26A3" w:rsidRDefault="00BE26A3">
            <w:pPr>
              <w:jc w:val="center"/>
              <w:rPr>
                <w:sz w:val="18"/>
                <w:szCs w:val="18"/>
              </w:rPr>
            </w:pPr>
          </w:p>
          <w:p w:rsidR="00BE26A3" w:rsidRDefault="00BE26A3">
            <w:pPr>
              <w:jc w:val="center"/>
              <w:rPr>
                <w:sz w:val="18"/>
                <w:szCs w:val="18"/>
              </w:rPr>
            </w:pPr>
          </w:p>
          <w:p w:rsidR="00BE26A3" w:rsidRDefault="00CD5FCB">
            <w:pPr>
              <w:jc w:val="center"/>
              <w:rPr>
                <w:sz w:val="18"/>
                <w:szCs w:val="18"/>
              </w:rPr>
            </w:pPr>
            <w:r>
              <w:rPr>
                <w:sz w:val="18"/>
                <w:szCs w:val="18"/>
              </w:rPr>
              <w:t>2.</w:t>
            </w:r>
            <w:r>
              <w:rPr>
                <w:sz w:val="18"/>
                <w:szCs w:val="18"/>
              </w:rPr>
              <w:t>资金流</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pPr>
              <w:jc w:val="center"/>
              <w:rPr>
                <w:sz w:val="18"/>
                <w:szCs w:val="18"/>
              </w:rPr>
            </w:pPr>
          </w:p>
          <w:p w:rsidR="00BE26A3" w:rsidRDefault="00BE26A3">
            <w:pPr>
              <w:jc w:val="center"/>
              <w:rPr>
                <w:sz w:val="18"/>
                <w:szCs w:val="18"/>
              </w:rPr>
            </w:pPr>
          </w:p>
          <w:p w:rsidR="00BE26A3" w:rsidRDefault="00CD5FCB">
            <w:pPr>
              <w:jc w:val="center"/>
              <w:rPr>
                <w:sz w:val="18"/>
                <w:szCs w:val="18"/>
              </w:rPr>
            </w:pPr>
            <w:r>
              <w:rPr>
                <w:sz w:val="18"/>
                <w:szCs w:val="18"/>
              </w:rPr>
              <w:t>2.1</w:t>
            </w:r>
            <w:r>
              <w:rPr>
                <w:sz w:val="18"/>
                <w:szCs w:val="18"/>
              </w:rPr>
              <w:t>经济发展</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2.1.1</w:t>
            </w:r>
            <w:r>
              <w:rPr>
                <w:sz w:val="18"/>
                <w:szCs w:val="18"/>
              </w:rPr>
              <w:t>人均</w:t>
            </w:r>
            <w:r>
              <w:rPr>
                <w:sz w:val="18"/>
                <w:szCs w:val="18"/>
              </w:rPr>
              <w:t>GDP</w:t>
            </w:r>
            <w:r>
              <w:rPr>
                <w:sz w:val="18"/>
                <w:szCs w:val="18"/>
              </w:rPr>
              <w:t>（元）</w:t>
            </w:r>
          </w:p>
        </w:tc>
      </w:tr>
      <w:tr w:rsidR="00BE26A3">
        <w:tblPrEx>
          <w:tblCellMar>
            <w:top w:w="0" w:type="dxa"/>
            <w:bottom w:w="0" w:type="dxa"/>
          </w:tblCellMar>
        </w:tblPrEx>
        <w:trPr>
          <w:trHeight w:val="105"/>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2.1.2</w:t>
            </w:r>
            <w:r>
              <w:rPr>
                <w:sz w:val="18"/>
                <w:szCs w:val="18"/>
              </w:rPr>
              <w:t>进出口总额（亿美元）</w:t>
            </w:r>
          </w:p>
        </w:tc>
      </w:tr>
      <w:tr w:rsidR="00BE26A3">
        <w:tblPrEx>
          <w:tblCellMar>
            <w:top w:w="0" w:type="dxa"/>
            <w:bottom w:w="0" w:type="dxa"/>
          </w:tblCellMar>
        </w:tblPrEx>
        <w:trPr>
          <w:trHeight w:val="120"/>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2.1.3</w:t>
            </w:r>
            <w:r>
              <w:rPr>
                <w:sz w:val="18"/>
                <w:szCs w:val="18"/>
              </w:rPr>
              <w:t>实际利用外商直接投资（万美元）</w:t>
            </w:r>
          </w:p>
        </w:tc>
      </w:tr>
      <w:tr w:rsidR="00BE26A3">
        <w:tblPrEx>
          <w:tblCellMar>
            <w:top w:w="0" w:type="dxa"/>
            <w:bottom w:w="0" w:type="dxa"/>
          </w:tblCellMar>
        </w:tblPrEx>
        <w:trPr>
          <w:trHeight w:val="135"/>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2.1.4</w:t>
            </w:r>
            <w:r>
              <w:rPr>
                <w:sz w:val="18"/>
                <w:szCs w:val="18"/>
              </w:rPr>
              <w:t>全社会固定资产投资总额（亿元）</w:t>
            </w:r>
          </w:p>
        </w:tc>
      </w:tr>
      <w:tr w:rsidR="00BE26A3">
        <w:tblPrEx>
          <w:tblCellMar>
            <w:top w:w="0" w:type="dxa"/>
            <w:bottom w:w="0" w:type="dxa"/>
          </w:tblCellMar>
        </w:tblPrEx>
        <w:trPr>
          <w:trHeight w:val="190"/>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pPr>
              <w:jc w:val="center"/>
              <w:rPr>
                <w:sz w:val="18"/>
                <w:szCs w:val="18"/>
              </w:rPr>
            </w:pPr>
          </w:p>
          <w:p w:rsidR="00BE26A3" w:rsidRDefault="00CD5FCB">
            <w:pPr>
              <w:jc w:val="center"/>
              <w:rPr>
                <w:sz w:val="18"/>
                <w:szCs w:val="18"/>
              </w:rPr>
            </w:pPr>
            <w:r>
              <w:rPr>
                <w:sz w:val="18"/>
                <w:szCs w:val="18"/>
              </w:rPr>
              <w:t>2.2</w:t>
            </w:r>
            <w:r>
              <w:rPr>
                <w:sz w:val="18"/>
                <w:szCs w:val="18"/>
              </w:rPr>
              <w:t>金融业发展</w:t>
            </w:r>
          </w:p>
          <w:p w:rsidR="00BE26A3" w:rsidRDefault="00BE26A3">
            <w:pPr>
              <w:jc w:val="center"/>
              <w:rPr>
                <w:sz w:val="18"/>
                <w:szCs w:val="18"/>
              </w:rPr>
            </w:pP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2.2.1</w:t>
            </w:r>
            <w:r>
              <w:rPr>
                <w:sz w:val="18"/>
                <w:szCs w:val="18"/>
              </w:rPr>
              <w:t>金融业从业人员（万人）</w:t>
            </w:r>
          </w:p>
        </w:tc>
      </w:tr>
      <w:tr w:rsidR="00BE26A3">
        <w:tblPrEx>
          <w:tblCellMar>
            <w:top w:w="0" w:type="dxa"/>
            <w:bottom w:w="0" w:type="dxa"/>
          </w:tblCellMar>
        </w:tblPrEx>
        <w:trPr>
          <w:trHeight w:val="173"/>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2.2.2</w:t>
            </w:r>
            <w:r>
              <w:rPr>
                <w:sz w:val="18"/>
                <w:szCs w:val="18"/>
              </w:rPr>
              <w:t>年末金融机构人民币存款余额（万元）</w:t>
            </w:r>
          </w:p>
        </w:tc>
      </w:tr>
      <w:tr w:rsidR="00BE26A3">
        <w:tblPrEx>
          <w:tblCellMar>
            <w:top w:w="0" w:type="dxa"/>
            <w:bottom w:w="0" w:type="dxa"/>
          </w:tblCellMar>
        </w:tblPrEx>
        <w:trPr>
          <w:trHeight w:val="188"/>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2.2.3</w:t>
            </w:r>
            <w:r>
              <w:rPr>
                <w:sz w:val="18"/>
                <w:szCs w:val="18"/>
              </w:rPr>
              <w:t>年末金融机构人民币贷款余额（万元）</w:t>
            </w:r>
          </w:p>
        </w:tc>
      </w:tr>
      <w:tr w:rsidR="00BE26A3">
        <w:tblPrEx>
          <w:tblCellMar>
            <w:top w:w="0" w:type="dxa"/>
            <w:bottom w:w="0" w:type="dxa"/>
          </w:tblCellMar>
        </w:tblPrEx>
        <w:trPr>
          <w:trHeight w:val="184"/>
          <w:jc w:val="center"/>
        </w:trPr>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pPr>
              <w:jc w:val="center"/>
              <w:rPr>
                <w:sz w:val="18"/>
                <w:szCs w:val="18"/>
              </w:rPr>
            </w:pPr>
          </w:p>
          <w:p w:rsidR="00BE26A3" w:rsidRDefault="00BE26A3">
            <w:pPr>
              <w:jc w:val="center"/>
              <w:rPr>
                <w:sz w:val="18"/>
                <w:szCs w:val="18"/>
              </w:rPr>
            </w:pPr>
          </w:p>
          <w:p w:rsidR="00BE26A3" w:rsidRDefault="00BE26A3">
            <w:pPr>
              <w:jc w:val="center"/>
              <w:rPr>
                <w:sz w:val="18"/>
                <w:szCs w:val="18"/>
              </w:rPr>
            </w:pPr>
          </w:p>
          <w:p w:rsidR="00BE26A3" w:rsidRDefault="00BE26A3">
            <w:pPr>
              <w:jc w:val="center"/>
              <w:rPr>
                <w:sz w:val="18"/>
                <w:szCs w:val="18"/>
              </w:rPr>
            </w:pPr>
          </w:p>
          <w:p w:rsidR="00BE26A3" w:rsidRDefault="00CD5FCB">
            <w:pPr>
              <w:jc w:val="center"/>
              <w:rPr>
                <w:sz w:val="18"/>
                <w:szCs w:val="18"/>
              </w:rPr>
            </w:pPr>
            <w:r>
              <w:rPr>
                <w:sz w:val="18"/>
                <w:szCs w:val="18"/>
              </w:rPr>
              <w:t>3.</w:t>
            </w:r>
            <w:r>
              <w:rPr>
                <w:sz w:val="18"/>
                <w:szCs w:val="18"/>
              </w:rPr>
              <w:t>信息流</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pPr>
              <w:jc w:val="center"/>
              <w:rPr>
                <w:sz w:val="18"/>
                <w:szCs w:val="18"/>
              </w:rPr>
            </w:pPr>
          </w:p>
          <w:p w:rsidR="00BE26A3" w:rsidRDefault="00BE26A3">
            <w:pPr>
              <w:jc w:val="center"/>
              <w:rPr>
                <w:sz w:val="18"/>
                <w:szCs w:val="18"/>
              </w:rPr>
            </w:pPr>
          </w:p>
          <w:p w:rsidR="00BE26A3" w:rsidRDefault="00CD5FCB">
            <w:pPr>
              <w:jc w:val="center"/>
              <w:rPr>
                <w:sz w:val="18"/>
                <w:szCs w:val="18"/>
              </w:rPr>
            </w:pPr>
            <w:r>
              <w:rPr>
                <w:sz w:val="18"/>
                <w:szCs w:val="18"/>
              </w:rPr>
              <w:t>3.1</w:t>
            </w:r>
            <w:r>
              <w:rPr>
                <w:sz w:val="18"/>
                <w:szCs w:val="18"/>
              </w:rPr>
              <w:t>基础设施</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3.1.1</w:t>
            </w:r>
            <w:r>
              <w:rPr>
                <w:sz w:val="18"/>
                <w:szCs w:val="18"/>
              </w:rPr>
              <w:t>铁路货运量（万吨）</w:t>
            </w:r>
          </w:p>
        </w:tc>
      </w:tr>
      <w:tr w:rsidR="00BE26A3">
        <w:tblPrEx>
          <w:tblCellMar>
            <w:top w:w="0" w:type="dxa"/>
            <w:bottom w:w="0" w:type="dxa"/>
          </w:tblCellMar>
        </w:tblPrEx>
        <w:trPr>
          <w:trHeight w:val="138"/>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3.1.2</w:t>
            </w:r>
            <w:r>
              <w:rPr>
                <w:sz w:val="18"/>
                <w:szCs w:val="18"/>
              </w:rPr>
              <w:t>公路货运量（万吨）</w:t>
            </w:r>
          </w:p>
        </w:tc>
      </w:tr>
      <w:tr w:rsidR="00BE26A3">
        <w:tblPrEx>
          <w:tblCellMar>
            <w:top w:w="0" w:type="dxa"/>
            <w:bottom w:w="0" w:type="dxa"/>
          </w:tblCellMar>
        </w:tblPrEx>
        <w:trPr>
          <w:trHeight w:val="137"/>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3.1.3</w:t>
            </w:r>
            <w:r>
              <w:rPr>
                <w:sz w:val="18"/>
                <w:szCs w:val="18"/>
              </w:rPr>
              <w:t>民用航空货邮运量（万吨）</w:t>
            </w:r>
          </w:p>
        </w:tc>
      </w:tr>
      <w:tr w:rsidR="00BE26A3">
        <w:tblPrEx>
          <w:tblCellMar>
            <w:top w:w="0" w:type="dxa"/>
            <w:bottom w:w="0" w:type="dxa"/>
          </w:tblCellMar>
        </w:tblPrEx>
        <w:trPr>
          <w:trHeight w:val="202"/>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3.1.4</w:t>
            </w:r>
            <w:r>
              <w:rPr>
                <w:sz w:val="18"/>
                <w:szCs w:val="18"/>
              </w:rPr>
              <w:t>货物周转量（亿吨公里）</w:t>
            </w:r>
          </w:p>
        </w:tc>
      </w:tr>
      <w:tr w:rsidR="00BE26A3">
        <w:tblPrEx>
          <w:tblCellMar>
            <w:top w:w="0" w:type="dxa"/>
            <w:bottom w:w="0" w:type="dxa"/>
          </w:tblCellMar>
        </w:tblPrEx>
        <w:trPr>
          <w:trHeight w:val="198"/>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pPr>
              <w:jc w:val="center"/>
              <w:rPr>
                <w:sz w:val="18"/>
                <w:szCs w:val="18"/>
              </w:rPr>
            </w:pPr>
          </w:p>
          <w:p w:rsidR="00BE26A3" w:rsidRDefault="00BE26A3">
            <w:pPr>
              <w:jc w:val="center"/>
              <w:rPr>
                <w:sz w:val="18"/>
                <w:szCs w:val="18"/>
              </w:rPr>
            </w:pPr>
          </w:p>
          <w:p w:rsidR="00BE26A3" w:rsidRDefault="00CD5FCB">
            <w:pPr>
              <w:jc w:val="center"/>
              <w:rPr>
                <w:sz w:val="18"/>
                <w:szCs w:val="18"/>
              </w:rPr>
            </w:pPr>
            <w:r>
              <w:rPr>
                <w:sz w:val="18"/>
                <w:szCs w:val="18"/>
              </w:rPr>
              <w:t>3.2</w:t>
            </w:r>
            <w:r>
              <w:rPr>
                <w:sz w:val="18"/>
                <w:szCs w:val="18"/>
              </w:rPr>
              <w:t>信息化建设</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3.2.1</w:t>
            </w:r>
            <w:r>
              <w:rPr>
                <w:sz w:val="18"/>
                <w:szCs w:val="18"/>
              </w:rPr>
              <w:t>固定电话年末用户数（万户）</w:t>
            </w:r>
          </w:p>
        </w:tc>
      </w:tr>
      <w:tr w:rsidR="00BE26A3">
        <w:tblPrEx>
          <w:tblCellMar>
            <w:top w:w="0" w:type="dxa"/>
            <w:bottom w:w="0" w:type="dxa"/>
          </w:tblCellMar>
        </w:tblPrEx>
        <w:trPr>
          <w:trHeight w:val="124"/>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3.2.2</w:t>
            </w:r>
            <w:r>
              <w:rPr>
                <w:sz w:val="18"/>
                <w:szCs w:val="18"/>
              </w:rPr>
              <w:t>移动电话年末用户数（万户）</w:t>
            </w:r>
          </w:p>
        </w:tc>
      </w:tr>
      <w:tr w:rsidR="00BE26A3">
        <w:tblPrEx>
          <w:tblCellMar>
            <w:top w:w="0" w:type="dxa"/>
            <w:bottom w:w="0" w:type="dxa"/>
          </w:tblCellMar>
        </w:tblPrEx>
        <w:trPr>
          <w:trHeight w:val="128"/>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3.2.3</w:t>
            </w:r>
            <w:r>
              <w:rPr>
                <w:sz w:val="18"/>
                <w:szCs w:val="18"/>
              </w:rPr>
              <w:t>互联网快带接入用户数（万户）</w:t>
            </w:r>
          </w:p>
        </w:tc>
      </w:tr>
      <w:tr w:rsidR="00BE26A3">
        <w:tblPrEx>
          <w:tblCellMar>
            <w:top w:w="0" w:type="dxa"/>
            <w:bottom w:w="0" w:type="dxa"/>
          </w:tblCellMar>
        </w:tblPrEx>
        <w:trPr>
          <w:trHeight w:val="399"/>
          <w:jc w:val="center"/>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BE26A3"/>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left"/>
              <w:rPr>
                <w:sz w:val="18"/>
                <w:szCs w:val="18"/>
              </w:rPr>
            </w:pPr>
            <w:r>
              <w:rPr>
                <w:sz w:val="18"/>
                <w:szCs w:val="18"/>
              </w:rPr>
              <w:t>3.2.4</w:t>
            </w:r>
            <w:r>
              <w:rPr>
                <w:sz w:val="18"/>
                <w:szCs w:val="18"/>
              </w:rPr>
              <w:t>信息传输、软件和信息技术服务业从业人员（万人）</w:t>
            </w:r>
          </w:p>
        </w:tc>
      </w:tr>
    </w:tbl>
    <w:p w:rsidR="00BE26A3" w:rsidRDefault="00CD5FCB">
      <w:pPr>
        <w:numPr>
          <w:ilvl w:val="0"/>
          <w:numId w:val="1"/>
        </w:numPr>
        <w:jc w:val="left"/>
        <w:rPr>
          <w:rFonts w:ascii="Calibri Light" w:eastAsia="Calibri Light" w:hAnsi="Calibri Light"/>
          <w:b/>
          <w:bCs/>
          <w:sz w:val="28"/>
          <w:szCs w:val="28"/>
        </w:rPr>
      </w:pPr>
      <w:r>
        <w:rPr>
          <w:rFonts w:ascii="Calibri Light" w:eastAsia="Calibri Light" w:hAnsi="Calibri Light" w:hint="eastAsia"/>
          <w:b/>
          <w:bCs/>
          <w:sz w:val="28"/>
          <w:szCs w:val="28"/>
        </w:rPr>
        <w:t>利用因子分析对航空港区物流金融水平进行测度</w:t>
      </w:r>
    </w:p>
    <w:p w:rsidR="00BE26A3" w:rsidRDefault="00CD5FCB">
      <w:pPr>
        <w:jc w:val="left"/>
        <w:rPr>
          <w:b/>
          <w:bCs/>
          <w:sz w:val="24"/>
        </w:rPr>
      </w:pPr>
      <w:r>
        <w:rPr>
          <w:b/>
          <w:bCs/>
          <w:sz w:val="24"/>
        </w:rPr>
        <w:t>（一）因子分析过程</w:t>
      </w:r>
    </w:p>
    <w:p w:rsidR="00BE26A3" w:rsidRDefault="00CD5FCB">
      <w:pPr>
        <w:spacing w:line="300" w:lineRule="auto"/>
        <w:ind w:firstLine="480"/>
        <w:jc w:val="left"/>
        <w:rPr>
          <w:sz w:val="24"/>
        </w:rPr>
      </w:pPr>
      <w:r>
        <w:rPr>
          <w:sz w:val="24"/>
        </w:rPr>
        <w:t>首先借助相关系数矩阵以及反映像相关矩阵判断收集到的原始变量之间的线性关系，是否适合进行因子分析。同时，由于数据中存在缺失值，采用均值替代法进行处理。通过</w:t>
      </w:r>
      <w:r>
        <w:rPr>
          <w:sz w:val="24"/>
        </w:rPr>
        <w:t>SPSS21.0</w:t>
      </w:r>
      <w:r>
        <w:rPr>
          <w:sz w:val="24"/>
        </w:rPr>
        <w:t>软件运行，原始变量的相关系数矩阵显示出大</w:t>
      </w:r>
      <w:r>
        <w:rPr>
          <w:sz w:val="24"/>
        </w:rPr>
        <w:lastRenderedPageBreak/>
        <w:t>部分指标数值的相关系数较高，呈现较强的线性关系，能够从中提取公共因子，适合进行因子分析。</w:t>
      </w:r>
    </w:p>
    <w:p w:rsidR="00BE26A3" w:rsidRDefault="00CD5FCB">
      <w:pPr>
        <w:spacing w:line="300" w:lineRule="auto"/>
        <w:ind w:firstLine="480"/>
        <w:jc w:val="left"/>
        <w:rPr>
          <w:sz w:val="24"/>
        </w:rPr>
      </w:pPr>
      <w:r>
        <w:rPr>
          <w:sz w:val="24"/>
        </w:rPr>
        <w:t>1.</w:t>
      </w:r>
      <w:r>
        <w:rPr>
          <w:sz w:val="24"/>
        </w:rPr>
        <w:t>提取因子</w:t>
      </w:r>
    </w:p>
    <w:p w:rsidR="00BE26A3" w:rsidRDefault="00CD5FCB">
      <w:pPr>
        <w:spacing w:line="300" w:lineRule="auto"/>
        <w:ind w:firstLine="480"/>
        <w:jc w:val="left"/>
        <w:rPr>
          <w:sz w:val="24"/>
        </w:rPr>
      </w:pPr>
      <w:r>
        <w:rPr>
          <w:sz w:val="24"/>
        </w:rPr>
        <w:t>首先进行尝试性分析：根据原始变量的相关系数矩阵，通过主成分分析法提取因子并选取大于</w:t>
      </w:r>
      <w:r>
        <w:rPr>
          <w:sz w:val="24"/>
        </w:rPr>
        <w:t>1</w:t>
      </w:r>
      <w:r>
        <w:rPr>
          <w:sz w:val="24"/>
        </w:rPr>
        <w:t>的特征值。运行结果如表</w:t>
      </w:r>
      <w:r>
        <w:rPr>
          <w:sz w:val="24"/>
        </w:rPr>
        <w:t>1-2</w:t>
      </w:r>
      <w:r>
        <w:rPr>
          <w:sz w:val="24"/>
        </w:rPr>
        <w:t>所示：</w:t>
      </w:r>
    </w:p>
    <w:tbl>
      <w:tblPr>
        <w:tblW w:w="5719" w:type="dxa"/>
        <w:jc w:val="center"/>
        <w:tblCellMar>
          <w:left w:w="10" w:type="dxa"/>
          <w:right w:w="10" w:type="dxa"/>
        </w:tblCellMar>
        <w:tblLook w:val="0000"/>
      </w:tblPr>
      <w:tblGrid>
        <w:gridCol w:w="3763"/>
        <w:gridCol w:w="978"/>
        <w:gridCol w:w="978"/>
      </w:tblGrid>
      <w:tr w:rsidR="00BE26A3">
        <w:tblPrEx>
          <w:tblCellMar>
            <w:top w:w="0" w:type="dxa"/>
            <w:bottom w:w="0" w:type="dxa"/>
          </w:tblCellMar>
        </w:tblPrEx>
        <w:trPr>
          <w:cantSplit/>
          <w:jc w:val="center"/>
        </w:trPr>
        <w:tc>
          <w:tcPr>
            <w:tcW w:w="5719" w:type="dxa"/>
            <w:gridSpan w:val="3"/>
            <w:tcBorders>
              <w:top w:val="none" w:sz="0" w:space="0" w:color="000000"/>
              <w:left w:val="none" w:sz="0" w:space="0" w:color="000000"/>
              <w:bottom w:val="none" w:sz="0" w:space="0" w:color="000000"/>
              <w:right w:val="none" w:sz="0"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b/>
                <w:sz w:val="18"/>
                <w:szCs w:val="18"/>
              </w:rPr>
              <w:t>表</w:t>
            </w:r>
            <w:r>
              <w:rPr>
                <w:b/>
                <w:sz w:val="18"/>
                <w:szCs w:val="18"/>
              </w:rPr>
              <w:t>1-2</w:t>
            </w:r>
            <w:r>
              <w:rPr>
                <w:b/>
                <w:sz w:val="18"/>
                <w:szCs w:val="18"/>
              </w:rPr>
              <w:t>公因子方差</w:t>
            </w:r>
          </w:p>
        </w:tc>
      </w:tr>
      <w:tr w:rsidR="00BE26A3">
        <w:tblPrEx>
          <w:tblCellMar>
            <w:top w:w="0" w:type="dxa"/>
            <w:bottom w:w="0" w:type="dxa"/>
          </w:tblCellMar>
        </w:tblPrEx>
        <w:trPr>
          <w:cantSplit/>
          <w:jc w:val="center"/>
        </w:trPr>
        <w:tc>
          <w:tcPr>
            <w:tcW w:w="3763" w:type="dxa"/>
            <w:tcBorders>
              <w:top w:val="single" w:sz="16" w:space="0" w:color="000000"/>
              <w:left w:val="single" w:sz="16" w:space="0" w:color="000000"/>
              <w:bottom w:val="single" w:sz="16"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c>
          <w:tcPr>
            <w:tcW w:w="978" w:type="dxa"/>
            <w:tcBorders>
              <w:top w:val="single" w:sz="16" w:space="0" w:color="000000"/>
              <w:left w:val="single" w:sz="16"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初始</w:t>
            </w:r>
          </w:p>
        </w:tc>
        <w:tc>
          <w:tcPr>
            <w:tcW w:w="978" w:type="dxa"/>
            <w:tcBorders>
              <w:top w:val="single" w:sz="16" w:space="0" w:color="000000"/>
              <w:left w:val="single" w:sz="8" w:space="0" w:color="000000"/>
              <w:bottom w:val="single" w:sz="16"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提取</w:t>
            </w:r>
          </w:p>
        </w:tc>
      </w:tr>
      <w:tr w:rsidR="00BE26A3">
        <w:tblPrEx>
          <w:tblCellMar>
            <w:top w:w="0" w:type="dxa"/>
            <w:bottom w:w="0" w:type="dxa"/>
          </w:tblCellMar>
        </w:tblPrEx>
        <w:trPr>
          <w:cantSplit/>
          <w:jc w:val="center"/>
        </w:trPr>
        <w:tc>
          <w:tcPr>
            <w:tcW w:w="3763" w:type="dxa"/>
            <w:tcBorders>
              <w:top w:val="single" w:sz="16"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铁路货运量（万吨）</w:t>
            </w:r>
          </w:p>
        </w:tc>
        <w:tc>
          <w:tcPr>
            <w:tcW w:w="978" w:type="dxa"/>
            <w:tcBorders>
              <w:top w:val="single" w:sz="16"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single" w:sz="16"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.240</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公路货运量（万吨）</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.722</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民用航空货邮运量</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.939</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货物周转量（亿吨公里）</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.750</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交通运输、仓储及邮政业从业人员（万人）</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.820</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年末邮政局（所）数（处）</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.936</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邮政业务收入（万元）</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.989</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电信业务收入（万元）</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.978</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固定电话年末用户数（万户）</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.998</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移动电话年末用户数（万户）</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.942</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互联网快带接入用户数（万户）</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.908</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信息传输、软件和信息技术服务业从业人员</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.963</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人均</w:t>
            </w:r>
            <w:r>
              <w:rPr>
                <w:sz w:val="18"/>
                <w:szCs w:val="18"/>
              </w:rPr>
              <w:t>GDP</w:t>
            </w:r>
            <w:r>
              <w:rPr>
                <w:sz w:val="18"/>
                <w:szCs w:val="18"/>
              </w:rPr>
              <w:t>（元）</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.822</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进出口总额（亿美元）</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.941</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实际利用外商直接投资（万美元）</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.940</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全社会固定资产投资总额（亿元）</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.587</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规模以上工业企业个数（个）</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.846</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规模以上工业总产值（万元）</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.985</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规模以上工业企业流动资产合计（万元）</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.978</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规模以上工业企业固定资产合计（万元）</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.931</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规模以上工业企业利润总额（万元）</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.953</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金融业从业人员（万人）</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.973</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年末金融机构人民币存款余额（万元）</w:t>
            </w:r>
          </w:p>
        </w:tc>
        <w:tc>
          <w:tcPr>
            <w:tcW w:w="978"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.989</w:t>
            </w:r>
          </w:p>
        </w:tc>
      </w:tr>
      <w:tr w:rsidR="00BE26A3">
        <w:tblPrEx>
          <w:tblCellMar>
            <w:top w:w="0" w:type="dxa"/>
            <w:bottom w:w="0" w:type="dxa"/>
          </w:tblCellMar>
        </w:tblPrEx>
        <w:trPr>
          <w:cantSplit/>
          <w:jc w:val="center"/>
        </w:trPr>
        <w:tc>
          <w:tcPr>
            <w:tcW w:w="3763" w:type="dxa"/>
            <w:tcBorders>
              <w:top w:val="none" w:sz="0" w:space="0" w:color="000000"/>
              <w:left w:val="single" w:sz="16" w:space="0" w:color="000000"/>
              <w:bottom w:val="single" w:sz="16"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年末金融机构人民币贷款余额（万元）</w:t>
            </w:r>
          </w:p>
        </w:tc>
        <w:tc>
          <w:tcPr>
            <w:tcW w:w="978" w:type="dxa"/>
            <w:tcBorders>
              <w:top w:val="none" w:sz="0" w:space="0" w:color="000000"/>
              <w:left w:val="single" w:sz="16"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w:t>
            </w:r>
          </w:p>
        </w:tc>
        <w:tc>
          <w:tcPr>
            <w:tcW w:w="978" w:type="dxa"/>
            <w:tcBorders>
              <w:top w:val="none" w:sz="0" w:space="0" w:color="000000"/>
              <w:left w:val="single" w:sz="8" w:space="0" w:color="000000"/>
              <w:bottom w:val="single" w:sz="16"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.979</w:t>
            </w:r>
          </w:p>
        </w:tc>
      </w:tr>
      <w:tr w:rsidR="00BE26A3">
        <w:tblPrEx>
          <w:tblCellMar>
            <w:top w:w="0" w:type="dxa"/>
            <w:bottom w:w="0" w:type="dxa"/>
          </w:tblCellMar>
        </w:tblPrEx>
        <w:trPr>
          <w:cantSplit/>
          <w:jc w:val="center"/>
        </w:trPr>
        <w:tc>
          <w:tcPr>
            <w:tcW w:w="5719" w:type="dxa"/>
            <w:gridSpan w:val="3"/>
            <w:tcBorders>
              <w:top w:val="none" w:sz="0" w:space="0" w:color="000000"/>
              <w:left w:val="none" w:sz="0" w:space="0" w:color="000000"/>
              <w:bottom w:val="none" w:sz="0" w:space="0" w:color="000000"/>
              <w:right w:val="none" w:sz="0"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提取方法：主成份分析。</w:t>
            </w:r>
          </w:p>
        </w:tc>
      </w:tr>
    </w:tbl>
    <w:p w:rsidR="00BE26A3" w:rsidRDefault="00CD5FCB">
      <w:pPr>
        <w:spacing w:line="300" w:lineRule="auto"/>
        <w:ind w:firstLine="480"/>
        <w:rPr>
          <w:sz w:val="24"/>
        </w:rPr>
      </w:pPr>
      <w:r>
        <w:rPr>
          <w:sz w:val="24"/>
        </w:rPr>
        <w:t>表</w:t>
      </w:r>
      <w:r>
        <w:rPr>
          <w:sz w:val="24"/>
        </w:rPr>
        <w:t>1-2</w:t>
      </w:r>
      <w:r>
        <w:rPr>
          <w:sz w:val="24"/>
        </w:rPr>
        <w:t>显示了所有变量共同度数据。第一列数据是因子分析初始解下的变量共同度，第二列数据是在特征值大于</w:t>
      </w:r>
      <w:r>
        <w:rPr>
          <w:sz w:val="24"/>
        </w:rPr>
        <w:t>1</w:t>
      </w:r>
      <w:r>
        <w:rPr>
          <w:sz w:val="24"/>
        </w:rPr>
        <w:t>的指定条件下提取特征值时的变量共同度。可以看出所有指标的绝大部分信息可被因子解释，这些变量的信息丢失较少。因此，本次因子提取的总体效果比较理想。</w:t>
      </w:r>
    </w:p>
    <w:tbl>
      <w:tblPr>
        <w:tblW w:w="10660" w:type="dxa"/>
        <w:jc w:val="center"/>
        <w:tblCellMar>
          <w:left w:w="10" w:type="dxa"/>
          <w:right w:w="10" w:type="dxa"/>
        </w:tblCellMar>
        <w:tblLook w:val="0000"/>
      </w:tblPr>
      <w:tblGrid>
        <w:gridCol w:w="752"/>
        <w:gridCol w:w="1345"/>
        <w:gridCol w:w="1347"/>
        <w:gridCol w:w="1018"/>
        <w:gridCol w:w="1018"/>
        <w:gridCol w:w="1064"/>
        <w:gridCol w:w="1017"/>
        <w:gridCol w:w="1017"/>
        <w:gridCol w:w="1065"/>
        <w:gridCol w:w="1017"/>
      </w:tblGrid>
      <w:tr w:rsidR="00BE26A3">
        <w:tblPrEx>
          <w:tblCellMar>
            <w:top w:w="0" w:type="dxa"/>
            <w:bottom w:w="0" w:type="dxa"/>
          </w:tblCellMar>
        </w:tblPrEx>
        <w:trPr>
          <w:cantSplit/>
          <w:trHeight w:val="291"/>
          <w:jc w:val="center"/>
        </w:trPr>
        <w:tc>
          <w:tcPr>
            <w:tcW w:w="10660" w:type="dxa"/>
            <w:gridSpan w:val="10"/>
            <w:tcBorders>
              <w:top w:val="none" w:sz="0" w:space="0" w:color="000000"/>
              <w:left w:val="none" w:sz="0" w:space="0" w:color="000000"/>
              <w:bottom w:val="none" w:sz="0" w:space="0" w:color="000000"/>
              <w:right w:val="none" w:sz="0"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b/>
                <w:sz w:val="18"/>
                <w:szCs w:val="18"/>
              </w:rPr>
              <w:t>表</w:t>
            </w:r>
            <w:r>
              <w:rPr>
                <w:b/>
                <w:sz w:val="18"/>
                <w:szCs w:val="18"/>
              </w:rPr>
              <w:t>1-3</w:t>
            </w:r>
            <w:r>
              <w:rPr>
                <w:b/>
                <w:sz w:val="18"/>
                <w:szCs w:val="18"/>
              </w:rPr>
              <w:t>解释的总方差</w:t>
            </w:r>
          </w:p>
        </w:tc>
      </w:tr>
      <w:tr w:rsidR="00BE26A3">
        <w:tblPrEx>
          <w:tblCellMar>
            <w:top w:w="0" w:type="dxa"/>
            <w:bottom w:w="0" w:type="dxa"/>
          </w:tblCellMar>
        </w:tblPrEx>
        <w:trPr>
          <w:cantSplit/>
          <w:trHeight w:val="365"/>
          <w:jc w:val="center"/>
        </w:trPr>
        <w:tc>
          <w:tcPr>
            <w:tcW w:w="752" w:type="dxa"/>
            <w:vMerge w:val="restart"/>
            <w:tcBorders>
              <w:top w:val="single" w:sz="16"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成份</w:t>
            </w:r>
          </w:p>
        </w:tc>
        <w:tc>
          <w:tcPr>
            <w:tcW w:w="3710" w:type="dxa"/>
            <w:gridSpan w:val="3"/>
            <w:tcBorders>
              <w:top w:val="single" w:sz="16" w:space="0" w:color="000000"/>
              <w:left w:val="single" w:sz="16" w:space="0" w:color="000000"/>
              <w:bottom w:val="single" w:sz="8"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初始特征值</w:t>
            </w:r>
          </w:p>
        </w:tc>
        <w:tc>
          <w:tcPr>
            <w:tcW w:w="3099" w:type="dxa"/>
            <w:gridSpan w:val="3"/>
            <w:tcBorders>
              <w:top w:val="single" w:sz="16" w:space="0" w:color="000000"/>
              <w:left w:val="single" w:sz="8" w:space="0" w:color="000000"/>
              <w:bottom w:val="single" w:sz="8"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提取平方和载入</w:t>
            </w:r>
          </w:p>
        </w:tc>
        <w:tc>
          <w:tcPr>
            <w:tcW w:w="3099" w:type="dxa"/>
            <w:gridSpan w:val="3"/>
            <w:tcBorders>
              <w:top w:val="single" w:sz="16" w:space="0" w:color="000000"/>
              <w:left w:val="single" w:sz="8" w:space="0" w:color="000000"/>
              <w:bottom w:val="single" w:sz="8"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旋转平方和载入</w:t>
            </w:r>
          </w:p>
        </w:tc>
      </w:tr>
      <w:tr w:rsidR="00BE26A3">
        <w:tblPrEx>
          <w:tblCellMar>
            <w:top w:w="0" w:type="dxa"/>
            <w:bottom w:w="0" w:type="dxa"/>
          </w:tblCellMar>
        </w:tblPrEx>
        <w:trPr>
          <w:cantSplit/>
          <w:trHeight w:val="365"/>
          <w:jc w:val="center"/>
        </w:trPr>
        <w:tc>
          <w:tcPr>
            <w:tcW w:w="752" w:type="dxa"/>
            <w:vMerge/>
            <w:tcBorders>
              <w:top w:val="single" w:sz="16"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tc>
        <w:tc>
          <w:tcPr>
            <w:tcW w:w="1345" w:type="dxa"/>
            <w:tcBorders>
              <w:top w:val="single" w:sz="8" w:space="0" w:color="000000"/>
              <w:left w:val="single" w:sz="16"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合计</w:t>
            </w:r>
          </w:p>
        </w:tc>
        <w:tc>
          <w:tcPr>
            <w:tcW w:w="1347" w:type="dxa"/>
            <w:tcBorders>
              <w:top w:val="single" w:sz="8"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方差的</w:t>
            </w:r>
            <w:r>
              <w:rPr>
                <w:sz w:val="18"/>
                <w:szCs w:val="18"/>
              </w:rPr>
              <w:t xml:space="preserve"> %</w:t>
            </w:r>
          </w:p>
        </w:tc>
        <w:tc>
          <w:tcPr>
            <w:tcW w:w="1018" w:type="dxa"/>
            <w:tcBorders>
              <w:top w:val="single" w:sz="8"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累积</w:t>
            </w:r>
            <w:r>
              <w:rPr>
                <w:sz w:val="18"/>
                <w:szCs w:val="18"/>
              </w:rPr>
              <w:t xml:space="preserve"> %</w:t>
            </w:r>
          </w:p>
        </w:tc>
        <w:tc>
          <w:tcPr>
            <w:tcW w:w="1018" w:type="dxa"/>
            <w:tcBorders>
              <w:top w:val="single" w:sz="8"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合计</w:t>
            </w:r>
          </w:p>
        </w:tc>
        <w:tc>
          <w:tcPr>
            <w:tcW w:w="1064" w:type="dxa"/>
            <w:tcBorders>
              <w:top w:val="single" w:sz="8"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方差的</w:t>
            </w:r>
            <w:r>
              <w:rPr>
                <w:sz w:val="18"/>
                <w:szCs w:val="18"/>
              </w:rPr>
              <w:t xml:space="preserve"> %</w:t>
            </w:r>
          </w:p>
        </w:tc>
        <w:tc>
          <w:tcPr>
            <w:tcW w:w="1017" w:type="dxa"/>
            <w:tcBorders>
              <w:top w:val="single" w:sz="8"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累积</w:t>
            </w:r>
            <w:r>
              <w:rPr>
                <w:sz w:val="18"/>
                <w:szCs w:val="18"/>
              </w:rPr>
              <w:t xml:space="preserve"> %</w:t>
            </w:r>
          </w:p>
        </w:tc>
        <w:tc>
          <w:tcPr>
            <w:tcW w:w="1017" w:type="dxa"/>
            <w:tcBorders>
              <w:top w:val="single" w:sz="8"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合计</w:t>
            </w:r>
          </w:p>
        </w:tc>
        <w:tc>
          <w:tcPr>
            <w:tcW w:w="1065" w:type="dxa"/>
            <w:tcBorders>
              <w:top w:val="single" w:sz="8"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方差的</w:t>
            </w:r>
            <w:r>
              <w:rPr>
                <w:sz w:val="18"/>
                <w:szCs w:val="18"/>
              </w:rPr>
              <w:t xml:space="preserve"> %</w:t>
            </w:r>
          </w:p>
        </w:tc>
        <w:tc>
          <w:tcPr>
            <w:tcW w:w="1017" w:type="dxa"/>
            <w:tcBorders>
              <w:top w:val="single" w:sz="8" w:space="0" w:color="000000"/>
              <w:left w:val="single" w:sz="8" w:space="0" w:color="000000"/>
              <w:bottom w:val="single" w:sz="16"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累积</w:t>
            </w:r>
            <w:r>
              <w:rPr>
                <w:sz w:val="18"/>
                <w:szCs w:val="18"/>
              </w:rPr>
              <w:t xml:space="preserve"> %</w:t>
            </w:r>
          </w:p>
        </w:tc>
      </w:tr>
      <w:tr w:rsidR="00BE26A3">
        <w:tblPrEx>
          <w:tblCellMar>
            <w:top w:w="0" w:type="dxa"/>
            <w:bottom w:w="0" w:type="dxa"/>
          </w:tblCellMar>
        </w:tblPrEx>
        <w:trPr>
          <w:cantSplit/>
          <w:trHeight w:val="365"/>
          <w:jc w:val="center"/>
        </w:trPr>
        <w:tc>
          <w:tcPr>
            <w:tcW w:w="752" w:type="dxa"/>
            <w:tcBorders>
              <w:top w:val="single" w:sz="16"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1</w:t>
            </w:r>
          </w:p>
        </w:tc>
        <w:tc>
          <w:tcPr>
            <w:tcW w:w="1345" w:type="dxa"/>
            <w:tcBorders>
              <w:top w:val="single" w:sz="16"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14.659</w:t>
            </w:r>
          </w:p>
        </w:tc>
        <w:tc>
          <w:tcPr>
            <w:tcW w:w="1347" w:type="dxa"/>
            <w:tcBorders>
              <w:top w:val="single" w:sz="16"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61.080</w:t>
            </w:r>
          </w:p>
        </w:tc>
        <w:tc>
          <w:tcPr>
            <w:tcW w:w="1018" w:type="dxa"/>
            <w:tcBorders>
              <w:top w:val="single" w:sz="16"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61.080</w:t>
            </w:r>
          </w:p>
        </w:tc>
        <w:tc>
          <w:tcPr>
            <w:tcW w:w="1018" w:type="dxa"/>
            <w:tcBorders>
              <w:top w:val="single" w:sz="16"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14.659</w:t>
            </w:r>
          </w:p>
        </w:tc>
        <w:tc>
          <w:tcPr>
            <w:tcW w:w="1064" w:type="dxa"/>
            <w:tcBorders>
              <w:top w:val="single" w:sz="16"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61.080</w:t>
            </w:r>
          </w:p>
        </w:tc>
        <w:tc>
          <w:tcPr>
            <w:tcW w:w="1017" w:type="dxa"/>
            <w:tcBorders>
              <w:top w:val="single" w:sz="16"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61.080</w:t>
            </w:r>
          </w:p>
        </w:tc>
        <w:tc>
          <w:tcPr>
            <w:tcW w:w="1017" w:type="dxa"/>
            <w:tcBorders>
              <w:top w:val="single" w:sz="16"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10.547</w:t>
            </w:r>
          </w:p>
        </w:tc>
        <w:tc>
          <w:tcPr>
            <w:tcW w:w="1065" w:type="dxa"/>
            <w:tcBorders>
              <w:top w:val="single" w:sz="16"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43.948</w:t>
            </w:r>
          </w:p>
        </w:tc>
        <w:tc>
          <w:tcPr>
            <w:tcW w:w="1017" w:type="dxa"/>
            <w:tcBorders>
              <w:top w:val="single" w:sz="16"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43.948</w:t>
            </w: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lastRenderedPageBreak/>
              <w:t>2</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2.635</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10.978</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72.059</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2.635</w:t>
            </w: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10.978</w:t>
            </w: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72.059</w:t>
            </w: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6.293</w:t>
            </w: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26.222</w:t>
            </w: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70.169</w:t>
            </w: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3</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2.122</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w:t>
            </w:r>
            <w:r>
              <w:rPr>
                <w:sz w:val="18"/>
                <w:szCs w:val="18"/>
              </w:rPr>
              <w:t>842</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80.900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2.122</w:t>
            </w: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8.842</w:t>
            </w: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80.900</w:t>
            </w: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2.242</w:t>
            </w: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9.343</w:t>
            </w: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79.512</w:t>
            </w: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4</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1.692</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7.050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87.950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1.692</w:t>
            </w: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7.050</w:t>
            </w: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87.950</w:t>
            </w: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2.025</w:t>
            </w: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8.438</w:t>
            </w: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87.950</w:t>
            </w: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5</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1.114</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4.</w:t>
            </w:r>
            <w:r>
              <w:rPr>
                <w:sz w:val="18"/>
                <w:szCs w:val="18"/>
              </w:rPr>
              <w:t>641</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92.591</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6</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1.008</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4.</w:t>
            </w:r>
            <w:r>
              <w:rPr>
                <w:sz w:val="18"/>
                <w:szCs w:val="18"/>
              </w:rPr>
              <w:t>198</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96.789</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7</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.363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1.5</w:t>
            </w:r>
            <w:r>
              <w:rPr>
                <w:sz w:val="18"/>
                <w:szCs w:val="18"/>
              </w:rPr>
              <w:t>11</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98.300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8</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.271</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1.129</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99.429</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9</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.078</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.32</w:t>
            </w:r>
            <w:r>
              <w:rPr>
                <w:sz w:val="18"/>
                <w:szCs w:val="18"/>
              </w:rPr>
              <w:t>5</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99.754</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10</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.059</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.246</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11</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1.008E-</w:t>
            </w:r>
            <w:r>
              <w:rPr>
                <w:sz w:val="18"/>
                <w:szCs w:val="18"/>
              </w:rPr>
              <w:t>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1.035E-013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12</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1.006E-013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1.025E-013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13</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1.004E-</w:t>
            </w:r>
            <w:r>
              <w:rPr>
                <w:sz w:val="18"/>
                <w:szCs w:val="18"/>
              </w:rPr>
              <w:t>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1.017E-013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14</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1.004E-013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1.016E-013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15</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1.002E-013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1.007E-013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16</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1.002E-013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1.007E-013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17</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1.001E-</w:t>
            </w:r>
            <w:r>
              <w:rPr>
                <w:sz w:val="18"/>
                <w:szCs w:val="18"/>
              </w:rPr>
              <w:t>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1.003E-013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18</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-1.000E-013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-1.001E-013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19</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-1.001E</w:t>
            </w:r>
            <w:r>
              <w:rPr>
                <w:sz w:val="18"/>
                <w:szCs w:val="18"/>
              </w:rPr>
              <w:t>-013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-1.006E-013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20</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-1.002E</w:t>
            </w:r>
            <w:r>
              <w:rPr>
                <w:sz w:val="18"/>
                <w:szCs w:val="18"/>
              </w:rPr>
              <w:t>-013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-1.010E-013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21</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-1.003E-013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-1.011E-013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22</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-1.003E</w:t>
            </w:r>
            <w:r>
              <w:rPr>
                <w:sz w:val="18"/>
                <w:szCs w:val="18"/>
              </w:rPr>
              <w:t>-013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-1.014E-013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23</w:t>
            </w:r>
          </w:p>
        </w:tc>
        <w:tc>
          <w:tcPr>
            <w:tcW w:w="1345"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-1.006E-013</w:t>
            </w:r>
          </w:p>
        </w:tc>
        <w:tc>
          <w:tcPr>
            <w:tcW w:w="134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-1.025E-013</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291"/>
          <w:jc w:val="center"/>
        </w:trPr>
        <w:tc>
          <w:tcPr>
            <w:tcW w:w="752" w:type="dxa"/>
            <w:tcBorders>
              <w:top w:val="none" w:sz="0" w:space="0" w:color="000000"/>
              <w:left w:val="single" w:sz="16" w:space="0" w:color="000000"/>
              <w:bottom w:val="single" w:sz="16"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jc w:val="center"/>
              <w:rPr>
                <w:sz w:val="18"/>
                <w:szCs w:val="18"/>
              </w:rPr>
            </w:pPr>
            <w:r>
              <w:rPr>
                <w:sz w:val="18"/>
                <w:szCs w:val="18"/>
              </w:rPr>
              <w:t>24</w:t>
            </w:r>
          </w:p>
        </w:tc>
        <w:tc>
          <w:tcPr>
            <w:tcW w:w="1345" w:type="dxa"/>
            <w:tcBorders>
              <w:top w:val="none" w:sz="0" w:space="0" w:color="000000"/>
              <w:left w:val="single" w:sz="16"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-1.008E</w:t>
            </w:r>
            <w:r>
              <w:rPr>
                <w:sz w:val="18"/>
                <w:szCs w:val="18"/>
              </w:rPr>
              <w:t>-013</w:t>
            </w:r>
          </w:p>
        </w:tc>
        <w:tc>
          <w:tcPr>
            <w:tcW w:w="1347" w:type="dxa"/>
            <w:tcBorders>
              <w:top w:val="none" w:sz="0"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-1.033E-013</w:t>
            </w:r>
          </w:p>
        </w:tc>
        <w:tc>
          <w:tcPr>
            <w:tcW w:w="1018" w:type="dxa"/>
            <w:tcBorders>
              <w:top w:val="none" w:sz="0"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100.000</w:t>
            </w:r>
          </w:p>
        </w:tc>
        <w:tc>
          <w:tcPr>
            <w:tcW w:w="1018" w:type="dxa"/>
            <w:tcBorders>
              <w:top w:val="none" w:sz="0"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4" w:type="dxa"/>
            <w:tcBorders>
              <w:top w:val="none" w:sz="0"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65" w:type="dxa"/>
            <w:tcBorders>
              <w:top w:val="none" w:sz="0"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BE26A3">
            <w:pPr>
              <w:rPr>
                <w:sz w:val="18"/>
                <w:szCs w:val="18"/>
              </w:rPr>
            </w:pPr>
          </w:p>
        </w:tc>
        <w:tc>
          <w:tcPr>
            <w:tcW w:w="1017" w:type="dxa"/>
            <w:tcBorders>
              <w:top w:val="none" w:sz="0" w:space="0" w:color="000000"/>
              <w:left w:val="single" w:sz="8" w:space="0" w:color="000000"/>
              <w:bottom w:val="single" w:sz="16"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r>
      <w:tr w:rsidR="00BE26A3">
        <w:tblPrEx>
          <w:tblCellMar>
            <w:top w:w="0" w:type="dxa"/>
            <w:bottom w:w="0" w:type="dxa"/>
          </w:tblCellMar>
        </w:tblPrEx>
        <w:trPr>
          <w:cantSplit/>
          <w:trHeight w:val="365"/>
          <w:jc w:val="center"/>
        </w:trPr>
        <w:tc>
          <w:tcPr>
            <w:tcW w:w="10660" w:type="dxa"/>
            <w:gridSpan w:val="10"/>
            <w:tcBorders>
              <w:top w:val="none" w:sz="0" w:space="0" w:color="000000"/>
              <w:left w:val="none" w:sz="0" w:space="0" w:color="000000"/>
              <w:bottom w:val="none" w:sz="0" w:space="0" w:color="000000"/>
              <w:right w:val="none" w:sz="0"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提取方</w:t>
            </w:r>
            <w:r>
              <w:rPr>
                <w:sz w:val="18"/>
                <w:szCs w:val="18"/>
              </w:rPr>
              <w:t>法：主成份分析。</w:t>
            </w:r>
          </w:p>
        </w:tc>
      </w:tr>
    </w:tbl>
    <w:p w:rsidR="00BE26A3" w:rsidRDefault="00CD5FCB">
      <w:pPr>
        <w:spacing w:line="300" w:lineRule="auto"/>
        <w:ind w:firstLine="480"/>
        <w:rPr>
          <w:sz w:val="24"/>
        </w:rPr>
      </w:pPr>
      <w:r>
        <w:rPr>
          <w:sz w:val="24"/>
        </w:rPr>
        <w:t>表</w:t>
      </w:r>
      <w:r>
        <w:rPr>
          <w:sz w:val="24"/>
        </w:rPr>
        <w:t>1-3</w:t>
      </w:r>
      <w:r>
        <w:rPr>
          <w:sz w:val="24"/>
        </w:rPr>
        <w:t>为因子解释原有变量总方差的情况，从该表可以看出提取出的前</w:t>
      </w:r>
      <w:r>
        <w:rPr>
          <w:sz w:val="24"/>
        </w:rPr>
        <w:t>4</w:t>
      </w:r>
      <w:r>
        <w:rPr>
          <w:sz w:val="24"/>
        </w:rPr>
        <w:t>个因子的累计方差贡献率为</w:t>
      </w:r>
      <w:r>
        <w:rPr>
          <w:sz w:val="24"/>
        </w:rPr>
        <w:t>87.95</w:t>
      </w:r>
      <w:r>
        <w:rPr>
          <w:sz w:val="24"/>
        </w:rPr>
        <w:t>％即这四个因子共同解释了原始变量总方差的</w:t>
      </w:r>
      <w:r>
        <w:rPr>
          <w:sz w:val="24"/>
        </w:rPr>
        <w:t>87.95</w:t>
      </w:r>
      <w:r>
        <w:rPr>
          <w:sz w:val="24"/>
        </w:rPr>
        <w:t>％，原始变量的信息丢失较少。因此，可提取</w:t>
      </w:r>
      <w:r>
        <w:rPr>
          <w:sz w:val="24"/>
        </w:rPr>
        <w:t xml:space="preserve">4 </w:t>
      </w:r>
      <w:r>
        <w:rPr>
          <w:sz w:val="24"/>
        </w:rPr>
        <w:t>个因子。</w:t>
      </w:r>
    </w:p>
    <w:p w:rsidR="00BE26A3" w:rsidRDefault="00CD5FCB">
      <w:pPr>
        <w:spacing w:line="300" w:lineRule="auto"/>
        <w:rPr>
          <w:sz w:val="24"/>
        </w:rPr>
      </w:pPr>
      <w:r>
        <w:rPr>
          <w:sz w:val="24"/>
        </w:rPr>
        <w:t>2.</w:t>
      </w:r>
      <w:r>
        <w:rPr>
          <w:sz w:val="24"/>
        </w:rPr>
        <w:t>因子解释</w:t>
      </w:r>
    </w:p>
    <w:p w:rsidR="00BE26A3" w:rsidRDefault="00CD5FCB">
      <w:pPr>
        <w:spacing w:line="300" w:lineRule="auto"/>
        <w:ind w:firstLine="480"/>
        <w:rPr>
          <w:szCs w:val="21"/>
        </w:rPr>
      </w:pPr>
      <w:r>
        <w:rPr>
          <w:sz w:val="24"/>
        </w:rPr>
        <w:t>采用方差极大法对因子载荷矩阵实行正交旋转，旋转后的因子载荷矩阵如表</w:t>
      </w:r>
      <w:r>
        <w:rPr>
          <w:sz w:val="24"/>
        </w:rPr>
        <w:t>1-4</w:t>
      </w:r>
      <w:r>
        <w:rPr>
          <w:sz w:val="24"/>
        </w:rPr>
        <w:t>所示</w:t>
      </w:r>
      <w:r>
        <w:rPr>
          <w:szCs w:val="21"/>
        </w:rPr>
        <w:t>：</w:t>
      </w:r>
    </w:p>
    <w:tbl>
      <w:tblPr>
        <w:tblW w:w="7738" w:type="dxa"/>
        <w:tblInd w:w="-10" w:type="dxa"/>
        <w:tblCellMar>
          <w:left w:w="10" w:type="dxa"/>
          <w:right w:w="10" w:type="dxa"/>
        </w:tblCellMar>
        <w:tblLook w:val="0000"/>
      </w:tblPr>
      <w:tblGrid>
        <w:gridCol w:w="3762"/>
        <w:gridCol w:w="994"/>
        <w:gridCol w:w="994"/>
        <w:gridCol w:w="994"/>
        <w:gridCol w:w="994"/>
      </w:tblGrid>
      <w:tr w:rsidR="00BE26A3">
        <w:tblPrEx>
          <w:tblCellMar>
            <w:top w:w="0" w:type="dxa"/>
            <w:bottom w:w="0" w:type="dxa"/>
          </w:tblCellMar>
        </w:tblPrEx>
        <w:trPr>
          <w:cantSplit/>
        </w:trPr>
        <w:tc>
          <w:tcPr>
            <w:tcW w:w="7738" w:type="dxa"/>
            <w:gridSpan w:val="5"/>
            <w:tcBorders>
              <w:top w:val="none" w:sz="0" w:space="0" w:color="000000"/>
              <w:left w:val="none" w:sz="0" w:space="0" w:color="000000"/>
              <w:bottom w:val="none" w:sz="0" w:space="0" w:color="000000"/>
              <w:right w:val="none" w:sz="0"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b/>
                <w:sz w:val="18"/>
                <w:szCs w:val="18"/>
              </w:rPr>
              <w:t>表</w:t>
            </w:r>
            <w:r>
              <w:rPr>
                <w:b/>
                <w:sz w:val="18"/>
                <w:szCs w:val="18"/>
              </w:rPr>
              <w:t>1-4</w:t>
            </w:r>
            <w:r>
              <w:rPr>
                <w:b/>
                <w:sz w:val="18"/>
                <w:szCs w:val="18"/>
              </w:rPr>
              <w:t>旋转成份矩阵</w:t>
            </w:r>
            <w:r>
              <w:rPr>
                <w:b/>
                <w:sz w:val="18"/>
                <w:szCs w:val="18"/>
                <w:vertAlign w:val="superscript"/>
              </w:rPr>
              <w:t>a</w:t>
            </w:r>
          </w:p>
        </w:tc>
      </w:tr>
      <w:tr w:rsidR="00BE26A3">
        <w:tblPrEx>
          <w:tblCellMar>
            <w:top w:w="0" w:type="dxa"/>
            <w:bottom w:w="0" w:type="dxa"/>
          </w:tblCellMar>
        </w:tblPrEx>
        <w:trPr>
          <w:cantSplit/>
        </w:trPr>
        <w:tc>
          <w:tcPr>
            <w:tcW w:w="3762" w:type="dxa"/>
            <w:vMerge w:val="restart"/>
            <w:tcBorders>
              <w:top w:val="single" w:sz="16"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18"/>
                <w:szCs w:val="18"/>
              </w:rPr>
            </w:pPr>
          </w:p>
        </w:tc>
        <w:tc>
          <w:tcPr>
            <w:tcW w:w="3976" w:type="dxa"/>
            <w:gridSpan w:val="4"/>
            <w:tcBorders>
              <w:top w:val="single" w:sz="16" w:space="0" w:color="000000"/>
              <w:left w:val="single" w:sz="16" w:space="0" w:color="000000"/>
              <w:bottom w:val="single" w:sz="8"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成份</w:t>
            </w:r>
          </w:p>
        </w:tc>
      </w:tr>
      <w:tr w:rsidR="00BE26A3">
        <w:tblPrEx>
          <w:tblCellMar>
            <w:top w:w="0" w:type="dxa"/>
            <w:bottom w:w="0" w:type="dxa"/>
          </w:tblCellMar>
        </w:tblPrEx>
        <w:trPr>
          <w:cantSplit/>
        </w:trPr>
        <w:tc>
          <w:tcPr>
            <w:tcW w:w="3762" w:type="dxa"/>
            <w:vMerge/>
            <w:tcBorders>
              <w:top w:val="single" w:sz="16"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tc>
        <w:tc>
          <w:tcPr>
            <w:tcW w:w="994" w:type="dxa"/>
            <w:tcBorders>
              <w:top w:val="single" w:sz="8" w:space="0" w:color="000000"/>
              <w:left w:val="single" w:sz="16"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1</w:t>
            </w:r>
          </w:p>
        </w:tc>
        <w:tc>
          <w:tcPr>
            <w:tcW w:w="994" w:type="dxa"/>
            <w:tcBorders>
              <w:top w:val="single" w:sz="8"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2</w:t>
            </w:r>
          </w:p>
        </w:tc>
        <w:tc>
          <w:tcPr>
            <w:tcW w:w="994" w:type="dxa"/>
            <w:tcBorders>
              <w:top w:val="single" w:sz="8"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3</w:t>
            </w:r>
          </w:p>
        </w:tc>
        <w:tc>
          <w:tcPr>
            <w:tcW w:w="994" w:type="dxa"/>
            <w:tcBorders>
              <w:top w:val="single" w:sz="8" w:space="0" w:color="000000"/>
              <w:left w:val="single" w:sz="8" w:space="0" w:color="000000"/>
              <w:bottom w:val="single" w:sz="16"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sz w:val="18"/>
                <w:szCs w:val="18"/>
              </w:rPr>
            </w:pPr>
            <w:r>
              <w:rPr>
                <w:sz w:val="18"/>
                <w:szCs w:val="18"/>
              </w:rPr>
              <w:t>4</w:t>
            </w:r>
          </w:p>
        </w:tc>
      </w:tr>
      <w:tr w:rsidR="00BE26A3">
        <w:tblPrEx>
          <w:tblCellMar>
            <w:top w:w="0" w:type="dxa"/>
            <w:bottom w:w="0" w:type="dxa"/>
          </w:tblCellMar>
        </w:tblPrEx>
        <w:trPr>
          <w:cantSplit/>
        </w:trPr>
        <w:tc>
          <w:tcPr>
            <w:tcW w:w="3762" w:type="dxa"/>
            <w:tcBorders>
              <w:top w:val="single" w:sz="16"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信息传输、软件和信息技术服务业从业人员</w:t>
            </w:r>
          </w:p>
        </w:tc>
        <w:tc>
          <w:tcPr>
            <w:tcW w:w="994" w:type="dxa"/>
            <w:tcBorders>
              <w:top w:val="single" w:sz="16"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.968</w:t>
            </w:r>
          </w:p>
        </w:tc>
        <w:tc>
          <w:tcPr>
            <w:tcW w:w="994" w:type="dxa"/>
            <w:tcBorders>
              <w:top w:val="single" w:sz="16"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.111</w:t>
            </w:r>
          </w:p>
        </w:tc>
        <w:tc>
          <w:tcPr>
            <w:tcW w:w="994" w:type="dxa"/>
            <w:tcBorders>
              <w:top w:val="single" w:sz="16"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-.113</w:t>
            </w:r>
          </w:p>
        </w:tc>
        <w:tc>
          <w:tcPr>
            <w:tcW w:w="994" w:type="dxa"/>
            <w:tcBorders>
              <w:top w:val="single" w:sz="16"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-.019</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年末金融机构人民币存款余额（万元）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.948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.300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-.032</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-.004</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金融业从业人员（万人）</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.941</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.239</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-.122</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-.125</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电信业务收入（万元）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.912</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.300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-.044</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.234</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固定电话年末用户数（万户）</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.910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.384</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.062</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.137</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邮政业务收入（万元）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.898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.363</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.224</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-.013</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民用航空货邮运量</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.870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.276</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.124</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.300</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年末金融机构人民币贷款余额（万元）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.855</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.475</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-.086</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.123</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lastRenderedPageBreak/>
              <w:t>实际利用外商直接投资（万美元）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.837</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.431</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.067</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.221</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移动电话年末用户数（万户）</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.830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.189</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.366</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.289</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规模以上工业企业固定资产合计（万元）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.720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.600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-.175</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.145</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进出口总额（亿美元）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.662</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.618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.287</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-.198</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互联网快带接入用户数（万户）</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.616</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.248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.519</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.444</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铁路货运量（万吨）</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-.409</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-.037</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-.260</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.058</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规模以上工业总产值（万元）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.346</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.927</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-.044</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.070</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规模以上工业企业利润总额（万元）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.328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.913</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.095</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-.048</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规模以上工业企业个数（个）</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.298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.848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.065</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.187</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规模以上工业企业流动资产合计（万元）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.550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.821</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.003</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-.040</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人均</w:t>
            </w:r>
            <w:r>
              <w:rPr>
                <w:sz w:val="18"/>
                <w:szCs w:val="18"/>
              </w:rPr>
              <w:t>GDP</w:t>
            </w:r>
            <w:r>
              <w:rPr>
                <w:sz w:val="18"/>
                <w:szCs w:val="18"/>
              </w:rPr>
              <w:t>（元）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.060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.702</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.569</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-.029</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年末邮政局（所）数（处）</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.156</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.498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.813</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-.060</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全社会固定资产投资总额（亿元）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.131</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.253</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-.708</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-.072</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公路货运量（万吨）</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.183</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-.022</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.084</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.825</w:t>
            </w:r>
          </w:p>
        </w:tc>
      </w:tr>
      <w:tr w:rsidR="00BE26A3">
        <w:tblPrEx>
          <w:tblCellMar>
            <w:top w:w="0" w:type="dxa"/>
            <w:bottom w:w="0" w:type="dxa"/>
          </w:tblCellMar>
        </w:tblPrEx>
        <w:trPr>
          <w:cantSplit/>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货物周转量（亿吨公里）</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.202</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.538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-.192</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.618</w:t>
            </w:r>
          </w:p>
        </w:tc>
      </w:tr>
      <w:tr w:rsidR="00BE26A3">
        <w:tblPrEx>
          <w:tblCellMar>
            <w:top w:w="0" w:type="dxa"/>
            <w:bottom w:w="0" w:type="dxa"/>
          </w:tblCellMar>
        </w:tblPrEx>
        <w:trPr>
          <w:cantSplit/>
        </w:trPr>
        <w:tc>
          <w:tcPr>
            <w:tcW w:w="3762" w:type="dxa"/>
            <w:tcBorders>
              <w:top w:val="none" w:sz="0" w:space="0" w:color="000000"/>
              <w:left w:val="single" w:sz="16" w:space="0" w:color="000000"/>
              <w:bottom w:val="single" w:sz="16"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交通运输、仓储及邮政业从业人员（万人）</w:t>
            </w:r>
          </w:p>
        </w:tc>
        <w:tc>
          <w:tcPr>
            <w:tcW w:w="994" w:type="dxa"/>
            <w:tcBorders>
              <w:top w:val="none" w:sz="0" w:space="0" w:color="000000"/>
              <w:left w:val="single" w:sz="16"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.492</w:t>
            </w:r>
          </w:p>
        </w:tc>
        <w:tc>
          <w:tcPr>
            <w:tcW w:w="994" w:type="dxa"/>
            <w:tcBorders>
              <w:top w:val="none" w:sz="0"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.506</w:t>
            </w:r>
          </w:p>
        </w:tc>
        <w:tc>
          <w:tcPr>
            <w:tcW w:w="994" w:type="dxa"/>
            <w:tcBorders>
              <w:top w:val="none" w:sz="0"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-.035</w:t>
            </w:r>
          </w:p>
        </w:tc>
        <w:tc>
          <w:tcPr>
            <w:tcW w:w="994" w:type="dxa"/>
            <w:tcBorders>
              <w:top w:val="none" w:sz="0" w:space="0" w:color="000000"/>
              <w:left w:val="single" w:sz="8" w:space="0" w:color="000000"/>
              <w:bottom w:val="single" w:sz="16"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sz w:val="18"/>
                <w:szCs w:val="18"/>
              </w:rPr>
            </w:pPr>
            <w:r>
              <w:rPr>
                <w:sz w:val="18"/>
                <w:szCs w:val="18"/>
              </w:rPr>
              <w:t>-.566</w:t>
            </w:r>
          </w:p>
        </w:tc>
      </w:tr>
      <w:tr w:rsidR="00BE26A3">
        <w:tblPrEx>
          <w:tblCellMar>
            <w:top w:w="0" w:type="dxa"/>
            <w:bottom w:w="0" w:type="dxa"/>
          </w:tblCellMar>
        </w:tblPrEx>
        <w:trPr>
          <w:cantSplit/>
        </w:trPr>
        <w:tc>
          <w:tcPr>
            <w:tcW w:w="7738" w:type="dxa"/>
            <w:gridSpan w:val="5"/>
            <w:tcBorders>
              <w:top w:val="none" w:sz="0" w:space="0" w:color="000000"/>
              <w:left w:val="none" w:sz="0" w:space="0" w:color="000000"/>
              <w:bottom w:val="none" w:sz="0" w:space="0" w:color="000000"/>
              <w:right w:val="none" w:sz="0"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sz w:val="18"/>
                <w:szCs w:val="18"/>
              </w:rPr>
            </w:pPr>
            <w:r>
              <w:rPr>
                <w:sz w:val="18"/>
                <w:szCs w:val="18"/>
              </w:rPr>
              <w:t>提取方法</w:t>
            </w:r>
            <w:r>
              <w:rPr>
                <w:sz w:val="18"/>
                <w:szCs w:val="18"/>
              </w:rPr>
              <w:t xml:space="preserve"> :</w:t>
            </w:r>
            <w:r>
              <w:rPr>
                <w:sz w:val="18"/>
                <w:szCs w:val="18"/>
              </w:rPr>
              <w:t>主成份。</w:t>
            </w:r>
            <w:r>
              <w:rPr>
                <w:sz w:val="18"/>
                <w:szCs w:val="18"/>
              </w:rPr>
              <w:t xml:space="preserve"> </w:t>
            </w:r>
          </w:p>
          <w:p w:rsidR="00BE26A3" w:rsidRDefault="00CD5FCB">
            <w:pPr>
              <w:spacing w:line="320" w:lineRule="atLeast"/>
              <w:ind w:left="60" w:right="60"/>
              <w:rPr>
                <w:sz w:val="18"/>
                <w:szCs w:val="18"/>
              </w:rPr>
            </w:pPr>
            <w:r>
              <w:rPr>
                <w:sz w:val="18"/>
                <w:szCs w:val="18"/>
              </w:rPr>
              <w:t xml:space="preserve"> </w:t>
            </w:r>
            <w:r>
              <w:rPr>
                <w:sz w:val="18"/>
                <w:szCs w:val="18"/>
              </w:rPr>
              <w:t>旋转法</w:t>
            </w:r>
            <w:r>
              <w:rPr>
                <w:sz w:val="18"/>
                <w:szCs w:val="18"/>
              </w:rPr>
              <w:t xml:space="preserve"> :</w:t>
            </w:r>
            <w:r>
              <w:rPr>
                <w:sz w:val="18"/>
                <w:szCs w:val="18"/>
              </w:rPr>
              <w:t>具有</w:t>
            </w:r>
            <w:r>
              <w:rPr>
                <w:sz w:val="18"/>
                <w:szCs w:val="18"/>
              </w:rPr>
              <w:t xml:space="preserve"> Kaiser </w:t>
            </w:r>
            <w:r>
              <w:rPr>
                <w:sz w:val="18"/>
                <w:szCs w:val="18"/>
              </w:rPr>
              <w:t>标准化的正交旋转法。</w:t>
            </w:r>
            <w:r>
              <w:rPr>
                <w:sz w:val="18"/>
                <w:szCs w:val="18"/>
                <w:vertAlign w:val="superscript"/>
              </w:rPr>
              <w:t>a</w:t>
            </w:r>
          </w:p>
        </w:tc>
      </w:tr>
      <w:tr w:rsidR="00BE26A3">
        <w:tblPrEx>
          <w:tblCellMar>
            <w:top w:w="0" w:type="dxa"/>
            <w:bottom w:w="0" w:type="dxa"/>
          </w:tblCellMar>
        </w:tblPrEx>
        <w:trPr>
          <w:cantSplit/>
        </w:trPr>
        <w:tc>
          <w:tcPr>
            <w:tcW w:w="7738" w:type="dxa"/>
            <w:gridSpan w:val="5"/>
            <w:tcBorders>
              <w:top w:val="none" w:sz="0" w:space="0" w:color="000000"/>
              <w:left w:val="none" w:sz="0" w:space="0" w:color="000000"/>
              <w:bottom w:val="none" w:sz="0" w:space="0" w:color="000000"/>
              <w:right w:val="none" w:sz="0" w:space="0" w:color="000000"/>
            </w:tcBorders>
            <w:shd w:val="clear" w:color="000000" w:fill="FFFFFF"/>
            <w:tcMar>
              <w:top w:w="0" w:type="dxa"/>
              <w:left w:w="0" w:type="dxa"/>
              <w:bottom w:w="0" w:type="dxa"/>
              <w:right w:w="0" w:type="dxa"/>
            </w:tcMar>
          </w:tcPr>
          <w:p w:rsidR="00BE26A3" w:rsidRDefault="00CD5FCB">
            <w:pPr>
              <w:spacing w:line="320" w:lineRule="atLeast"/>
              <w:ind w:left="60" w:right="60"/>
              <w:rPr>
                <w:sz w:val="18"/>
                <w:szCs w:val="18"/>
              </w:rPr>
            </w:pPr>
            <w:r>
              <w:rPr>
                <w:sz w:val="18"/>
                <w:szCs w:val="18"/>
              </w:rPr>
              <w:t xml:space="preserve">a. </w:t>
            </w:r>
            <w:r>
              <w:rPr>
                <w:sz w:val="18"/>
                <w:szCs w:val="18"/>
              </w:rPr>
              <w:t>旋转在</w:t>
            </w:r>
            <w:r>
              <w:rPr>
                <w:sz w:val="18"/>
                <w:szCs w:val="18"/>
              </w:rPr>
              <w:t xml:space="preserve"> 7 </w:t>
            </w:r>
            <w:r>
              <w:rPr>
                <w:sz w:val="18"/>
                <w:szCs w:val="18"/>
              </w:rPr>
              <w:t>次迭代后收敛。</w:t>
            </w:r>
          </w:p>
        </w:tc>
      </w:tr>
    </w:tbl>
    <w:p w:rsidR="00BE26A3" w:rsidRDefault="00CD5FCB">
      <w:pPr>
        <w:spacing w:line="300" w:lineRule="auto"/>
        <w:ind w:firstLine="480"/>
        <w:rPr>
          <w:sz w:val="24"/>
        </w:rPr>
      </w:pPr>
      <w:r>
        <w:rPr>
          <w:sz w:val="24"/>
        </w:rPr>
        <w:t>由表</w:t>
      </w:r>
      <w:r>
        <w:rPr>
          <w:sz w:val="24"/>
        </w:rPr>
        <w:t>1-4</w:t>
      </w:r>
      <w:r>
        <w:rPr>
          <w:sz w:val="24"/>
        </w:rPr>
        <w:t>旋转后的因子载荷矩阵可知，第</w:t>
      </w:r>
      <w:r>
        <w:rPr>
          <w:sz w:val="24"/>
        </w:rPr>
        <w:t>1</w:t>
      </w:r>
      <w:r>
        <w:rPr>
          <w:sz w:val="24"/>
        </w:rPr>
        <w:t>个因子主要解释了前</w:t>
      </w:r>
      <w:r>
        <w:rPr>
          <w:sz w:val="24"/>
        </w:rPr>
        <w:t>14</w:t>
      </w:r>
      <w:r>
        <w:rPr>
          <w:sz w:val="24"/>
        </w:rPr>
        <w:t>个变量；第</w:t>
      </w:r>
      <w:r>
        <w:rPr>
          <w:sz w:val="24"/>
        </w:rPr>
        <w:t>2</w:t>
      </w:r>
      <w:r>
        <w:rPr>
          <w:sz w:val="24"/>
        </w:rPr>
        <w:t>个因子主要解释了规模以上工业总产值、规模以上工业企业利润总额、规模以上工业企业个数、规模以上工业企业流动资产合计以及人均</w:t>
      </w:r>
      <w:r>
        <w:rPr>
          <w:sz w:val="24"/>
        </w:rPr>
        <w:t>GDP</w:t>
      </w:r>
      <w:r>
        <w:rPr>
          <w:sz w:val="24"/>
        </w:rPr>
        <w:t>这几个变量。年末邮政局数和全社会固定资产投资总额在第</w:t>
      </w:r>
      <w:r>
        <w:rPr>
          <w:sz w:val="24"/>
        </w:rPr>
        <w:t>3</w:t>
      </w:r>
      <w:r>
        <w:rPr>
          <w:sz w:val="24"/>
        </w:rPr>
        <w:t>个因子上有较高的载荷，公路货运量、货物周转量以及交通运输、仓储及邮政业从业人员在第</w:t>
      </w:r>
      <w:r>
        <w:rPr>
          <w:sz w:val="24"/>
        </w:rPr>
        <w:t>4</w:t>
      </w:r>
      <w:r>
        <w:rPr>
          <w:sz w:val="24"/>
        </w:rPr>
        <w:t>个因子上载荷较高。</w:t>
      </w:r>
    </w:p>
    <w:p w:rsidR="00BE26A3" w:rsidRDefault="00CD5FCB">
      <w:pPr>
        <w:spacing w:line="300" w:lineRule="auto"/>
        <w:rPr>
          <w:sz w:val="24"/>
        </w:rPr>
      </w:pPr>
      <w:r>
        <w:rPr>
          <w:sz w:val="24"/>
        </w:rPr>
        <w:t xml:space="preserve">  3. </w:t>
      </w:r>
      <w:r>
        <w:rPr>
          <w:sz w:val="24"/>
        </w:rPr>
        <w:t>计算因子得分</w:t>
      </w:r>
    </w:p>
    <w:p w:rsidR="00BE26A3" w:rsidRDefault="00CD5FCB">
      <w:pPr>
        <w:spacing w:line="300" w:lineRule="auto"/>
        <w:ind w:firstLine="480"/>
        <w:rPr>
          <w:sz w:val="24"/>
        </w:rPr>
      </w:pPr>
      <w:r>
        <w:rPr>
          <w:sz w:val="24"/>
        </w:rPr>
        <w:t>采用回归法估计因子得分系数，并输出因子得分系数。运行结果如表</w:t>
      </w:r>
      <w:r>
        <w:rPr>
          <w:sz w:val="24"/>
        </w:rPr>
        <w:t>1-5</w:t>
      </w:r>
      <w:r>
        <w:rPr>
          <w:sz w:val="24"/>
        </w:rPr>
        <w:t>所示：</w:t>
      </w:r>
    </w:p>
    <w:tbl>
      <w:tblPr>
        <w:tblW w:w="7738" w:type="dxa"/>
        <w:jc w:val="center"/>
        <w:tblCellMar>
          <w:left w:w="10" w:type="dxa"/>
          <w:right w:w="10" w:type="dxa"/>
        </w:tblCellMar>
        <w:tblLook w:val="0000"/>
      </w:tblPr>
      <w:tblGrid>
        <w:gridCol w:w="3762"/>
        <w:gridCol w:w="994"/>
        <w:gridCol w:w="994"/>
        <w:gridCol w:w="994"/>
        <w:gridCol w:w="994"/>
      </w:tblGrid>
      <w:tr w:rsidR="00BE26A3">
        <w:tblPrEx>
          <w:tblCellMar>
            <w:top w:w="0" w:type="dxa"/>
            <w:bottom w:w="0" w:type="dxa"/>
          </w:tblCellMar>
        </w:tblPrEx>
        <w:trPr>
          <w:cantSplit/>
          <w:jc w:val="center"/>
        </w:trPr>
        <w:tc>
          <w:tcPr>
            <w:tcW w:w="7738" w:type="dxa"/>
            <w:gridSpan w:val="5"/>
            <w:tcBorders>
              <w:top w:val="none" w:sz="0" w:space="0" w:color="000000"/>
              <w:left w:val="none" w:sz="0" w:space="0" w:color="000000"/>
              <w:bottom w:val="none" w:sz="0" w:space="0" w:color="000000"/>
              <w:right w:val="none" w:sz="0"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rFonts w:ascii="MingLiU" w:eastAsia="MingLiU" w:hAnsi="MingLiU"/>
                <w:sz w:val="18"/>
              </w:rPr>
            </w:pPr>
            <w:r>
              <w:rPr>
                <w:rFonts w:ascii="MingLiU" w:eastAsia="MingLiU" w:hAnsi="MingLiU"/>
                <w:b/>
                <w:sz w:val="18"/>
              </w:rPr>
              <w:t>表</w:t>
            </w:r>
            <w:r>
              <w:rPr>
                <w:rFonts w:ascii="MingLiU" w:eastAsia="MingLiU" w:hAnsi="MingLiU"/>
                <w:b/>
                <w:sz w:val="18"/>
              </w:rPr>
              <w:t>1-5</w:t>
            </w:r>
            <w:r>
              <w:rPr>
                <w:rFonts w:ascii="MingLiU" w:eastAsia="MingLiU" w:hAnsi="MingLiU"/>
                <w:b/>
                <w:sz w:val="18"/>
              </w:rPr>
              <w:t>成份得分系数矩阵</w:t>
            </w:r>
          </w:p>
        </w:tc>
      </w:tr>
      <w:tr w:rsidR="00BE26A3">
        <w:tblPrEx>
          <w:tblCellMar>
            <w:top w:w="0" w:type="dxa"/>
            <w:bottom w:w="0" w:type="dxa"/>
          </w:tblCellMar>
        </w:tblPrEx>
        <w:trPr>
          <w:cantSplit/>
          <w:jc w:val="center"/>
        </w:trPr>
        <w:tc>
          <w:tcPr>
            <w:tcW w:w="3762" w:type="dxa"/>
            <w:vMerge w:val="restart"/>
            <w:tcBorders>
              <w:top w:val="single" w:sz="16"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pPr>
              <w:rPr>
                <w:sz w:val="24"/>
              </w:rPr>
            </w:pPr>
          </w:p>
        </w:tc>
        <w:tc>
          <w:tcPr>
            <w:tcW w:w="3976" w:type="dxa"/>
            <w:gridSpan w:val="4"/>
            <w:tcBorders>
              <w:top w:val="single" w:sz="16" w:space="0" w:color="000000"/>
              <w:left w:val="single" w:sz="16" w:space="0" w:color="000000"/>
              <w:bottom w:val="single" w:sz="8"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rFonts w:ascii="MingLiU" w:eastAsia="MingLiU" w:hAnsi="MingLiU"/>
                <w:sz w:val="18"/>
              </w:rPr>
            </w:pPr>
            <w:r>
              <w:rPr>
                <w:rFonts w:ascii="MingLiU" w:eastAsia="MingLiU" w:hAnsi="MingLiU"/>
                <w:sz w:val="18"/>
              </w:rPr>
              <w:t>成份</w:t>
            </w:r>
          </w:p>
        </w:tc>
      </w:tr>
      <w:tr w:rsidR="00BE26A3">
        <w:tblPrEx>
          <w:tblCellMar>
            <w:top w:w="0" w:type="dxa"/>
            <w:bottom w:w="0" w:type="dxa"/>
          </w:tblCellMar>
        </w:tblPrEx>
        <w:trPr>
          <w:cantSplit/>
          <w:jc w:val="center"/>
        </w:trPr>
        <w:tc>
          <w:tcPr>
            <w:tcW w:w="3762" w:type="dxa"/>
            <w:vMerge/>
            <w:tcBorders>
              <w:top w:val="single" w:sz="16"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BE26A3"/>
        </w:tc>
        <w:tc>
          <w:tcPr>
            <w:tcW w:w="994" w:type="dxa"/>
            <w:tcBorders>
              <w:top w:val="single" w:sz="8" w:space="0" w:color="000000"/>
              <w:left w:val="single" w:sz="16"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rFonts w:ascii="MingLiU" w:eastAsia="MingLiU" w:hAnsi="MingLiU"/>
                <w:sz w:val="18"/>
              </w:rPr>
            </w:pPr>
            <w:r>
              <w:rPr>
                <w:rFonts w:ascii="MingLiU" w:eastAsia="MingLiU" w:hAnsi="MingLiU"/>
                <w:sz w:val="18"/>
              </w:rPr>
              <w:t>1</w:t>
            </w:r>
          </w:p>
        </w:tc>
        <w:tc>
          <w:tcPr>
            <w:tcW w:w="994" w:type="dxa"/>
            <w:tcBorders>
              <w:top w:val="single" w:sz="8"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rFonts w:ascii="MingLiU" w:eastAsia="MingLiU" w:hAnsi="MingLiU"/>
                <w:sz w:val="18"/>
              </w:rPr>
            </w:pPr>
            <w:r>
              <w:rPr>
                <w:rFonts w:ascii="MingLiU" w:eastAsia="MingLiU" w:hAnsi="MingLiU"/>
                <w:sz w:val="18"/>
              </w:rPr>
              <w:t>2</w:t>
            </w:r>
          </w:p>
        </w:tc>
        <w:tc>
          <w:tcPr>
            <w:tcW w:w="994" w:type="dxa"/>
            <w:tcBorders>
              <w:top w:val="single" w:sz="8"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rFonts w:ascii="MingLiU" w:eastAsia="MingLiU" w:hAnsi="MingLiU"/>
                <w:sz w:val="18"/>
              </w:rPr>
            </w:pPr>
            <w:r>
              <w:rPr>
                <w:rFonts w:ascii="MingLiU" w:eastAsia="MingLiU" w:hAnsi="MingLiU"/>
                <w:sz w:val="18"/>
              </w:rPr>
              <w:t>3</w:t>
            </w:r>
          </w:p>
        </w:tc>
        <w:tc>
          <w:tcPr>
            <w:tcW w:w="994" w:type="dxa"/>
            <w:tcBorders>
              <w:top w:val="single" w:sz="8" w:space="0" w:color="000000"/>
              <w:left w:val="single" w:sz="8" w:space="0" w:color="000000"/>
              <w:bottom w:val="single" w:sz="16"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center"/>
              <w:rPr>
                <w:rFonts w:ascii="MingLiU" w:eastAsia="MingLiU" w:hAnsi="MingLiU"/>
                <w:sz w:val="18"/>
              </w:rPr>
            </w:pPr>
            <w:r>
              <w:rPr>
                <w:rFonts w:ascii="MingLiU" w:eastAsia="MingLiU" w:hAnsi="MingLiU"/>
                <w:sz w:val="18"/>
              </w:rPr>
              <w:t>4</w:t>
            </w:r>
          </w:p>
        </w:tc>
      </w:tr>
      <w:tr w:rsidR="00BE26A3">
        <w:tblPrEx>
          <w:tblCellMar>
            <w:top w:w="0" w:type="dxa"/>
            <w:bottom w:w="0" w:type="dxa"/>
          </w:tblCellMar>
        </w:tblPrEx>
        <w:trPr>
          <w:cantSplit/>
          <w:jc w:val="center"/>
        </w:trPr>
        <w:tc>
          <w:tcPr>
            <w:tcW w:w="3762" w:type="dxa"/>
            <w:tcBorders>
              <w:top w:val="single" w:sz="16"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铁路货运量（万吨）</w:t>
            </w:r>
          </w:p>
        </w:tc>
        <w:tc>
          <w:tcPr>
            <w:tcW w:w="994" w:type="dxa"/>
            <w:tcBorders>
              <w:top w:val="single" w:sz="16"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-.074</w:t>
            </w:r>
          </w:p>
        </w:tc>
        <w:tc>
          <w:tcPr>
            <w:tcW w:w="994" w:type="dxa"/>
            <w:tcBorders>
              <w:top w:val="single" w:sz="16"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.073</w:t>
            </w:r>
          </w:p>
        </w:tc>
        <w:tc>
          <w:tcPr>
            <w:tcW w:w="994" w:type="dxa"/>
            <w:tcBorders>
              <w:top w:val="single" w:sz="16"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-.124</w:t>
            </w:r>
          </w:p>
        </w:tc>
        <w:tc>
          <w:tcPr>
            <w:tcW w:w="994" w:type="dxa"/>
            <w:tcBorders>
              <w:top w:val="single" w:sz="16"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.069</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公路货运量（万吨）</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-.019</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-.025</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.008</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.425</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民用航空货邮运量</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.098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-.056</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.028</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.101</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货物周转量（亿吨公里）</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-.090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.159</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-.154</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.336</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交通运输、仓储及邮政业从业人员（万人）</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.050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.069</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-.029</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-.325</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年末邮政局（所）数（处）</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-.047</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.072</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.358</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-.066</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邮政业务收入（万元）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.111</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-.047</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.083</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-.071</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电信业务收入（万元）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.107</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-.045</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-.052</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.070</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固定电话年末用户数（万户）</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.099</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-.028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-.003</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.016</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移动电话年末用户数（万户）</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.105</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-.093</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.150</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.086</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lastRenderedPageBreak/>
              <w:t>互联网快带接入用户数（万户）</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.045</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-.048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.214</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.179</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信息传输、软件和信息技术服务业从业人员</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.165</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-.113</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-.062</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-.070</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人均</w:t>
            </w:r>
            <w:r>
              <w:rPr>
                <w:rFonts w:ascii="MingLiU" w:eastAsia="MingLiU" w:hAnsi="MingLiU"/>
                <w:sz w:val="18"/>
              </w:rPr>
              <w:t>GDP</w:t>
            </w:r>
            <w:r>
              <w:rPr>
                <w:rFonts w:ascii="MingLiU" w:eastAsia="MingLiU" w:hAnsi="MingLiU"/>
                <w:sz w:val="18"/>
              </w:rPr>
              <w:t>（元）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-.099</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.168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.226</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-.029</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进出口总额（亿美元）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.039</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.062</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.103</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-.151</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实际利用外商直接投资（万美元）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.073</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-.001</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-.007</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.066</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全社会固定资产投资总额（亿元）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-.010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.104</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-.354</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-.013</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规模以上工业企业个数（个）</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-.092</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.213</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-.034</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.094</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规模以上工业总产值（万元）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-.088</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.235</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-.087</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.034</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规模以上工业企业流动资产合计（万元）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-.025</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.165</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-.053</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-.043</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规模以上工业企业固定资产合计（万元）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.029</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.085</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-.132</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.047</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规模以上工业企业利润总额（万元）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-.081</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.222</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-.015</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-.034</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金融业从业人员（万人）</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.147</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-.071</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-.070</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-.122</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none" w:sz="0"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年末金融机构人民币存款余额（万元）</w:t>
            </w:r>
          </w:p>
        </w:tc>
        <w:tc>
          <w:tcPr>
            <w:tcW w:w="994" w:type="dxa"/>
            <w:tcBorders>
              <w:top w:val="none" w:sz="0" w:space="0" w:color="000000"/>
              <w:left w:val="single" w:sz="16"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.130</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-.056</w:t>
            </w:r>
          </w:p>
        </w:tc>
        <w:tc>
          <w:tcPr>
            <w:tcW w:w="994" w:type="dxa"/>
            <w:tcBorders>
              <w:top w:val="none" w:sz="0" w:space="0" w:color="000000"/>
              <w:left w:val="single" w:sz="8" w:space="0" w:color="000000"/>
              <w:bottom w:val="none" w:sz="0"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-.036</w:t>
            </w:r>
          </w:p>
        </w:tc>
        <w:tc>
          <w:tcPr>
            <w:tcW w:w="994" w:type="dxa"/>
            <w:tcBorders>
              <w:top w:val="none" w:sz="0" w:space="0" w:color="000000"/>
              <w:left w:val="single" w:sz="8" w:space="0" w:color="000000"/>
              <w:bottom w:val="none" w:sz="0"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-.060</w:t>
            </w:r>
          </w:p>
        </w:tc>
      </w:tr>
      <w:tr w:rsidR="00BE26A3">
        <w:tblPrEx>
          <w:tblCellMar>
            <w:top w:w="0" w:type="dxa"/>
            <w:bottom w:w="0" w:type="dxa"/>
          </w:tblCellMar>
        </w:tblPrEx>
        <w:trPr>
          <w:cantSplit/>
          <w:jc w:val="center"/>
        </w:trPr>
        <w:tc>
          <w:tcPr>
            <w:tcW w:w="3762" w:type="dxa"/>
            <w:tcBorders>
              <w:top w:val="none" w:sz="0" w:space="0" w:color="000000"/>
              <w:left w:val="single" w:sz="16" w:space="0" w:color="000000"/>
              <w:bottom w:val="single" w:sz="16" w:space="0" w:color="000000"/>
              <w:right w:val="single" w:sz="16"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年末金融机构人民币贷款余额（万元）</w:t>
            </w:r>
          </w:p>
        </w:tc>
        <w:tc>
          <w:tcPr>
            <w:tcW w:w="994" w:type="dxa"/>
            <w:tcBorders>
              <w:top w:val="none" w:sz="0" w:space="0" w:color="000000"/>
              <w:left w:val="single" w:sz="16"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.076</w:t>
            </w:r>
          </w:p>
        </w:tc>
        <w:tc>
          <w:tcPr>
            <w:tcW w:w="994" w:type="dxa"/>
            <w:tcBorders>
              <w:top w:val="none" w:sz="0"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.019</w:t>
            </w:r>
          </w:p>
        </w:tc>
        <w:tc>
          <w:tcPr>
            <w:tcW w:w="994" w:type="dxa"/>
            <w:tcBorders>
              <w:top w:val="none" w:sz="0" w:space="0" w:color="000000"/>
              <w:left w:val="single" w:sz="8" w:space="0" w:color="000000"/>
              <w:bottom w:val="single" w:sz="16" w:space="0" w:color="000000"/>
              <w:right w:val="single" w:sz="8"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-.079</w:t>
            </w:r>
          </w:p>
        </w:tc>
        <w:tc>
          <w:tcPr>
            <w:tcW w:w="994" w:type="dxa"/>
            <w:tcBorders>
              <w:top w:val="none" w:sz="0" w:space="0" w:color="000000"/>
              <w:left w:val="single" w:sz="8" w:space="0" w:color="000000"/>
              <w:bottom w:val="single" w:sz="16" w:space="0" w:color="000000"/>
              <w:right w:val="single" w:sz="16" w:space="0" w:color="000000"/>
            </w:tcBorders>
            <w:shd w:val="clear" w:color="000000" w:fill="FFFFFF"/>
            <w:tcMar>
              <w:top w:w="0" w:type="dxa"/>
              <w:left w:w="0" w:type="dxa"/>
              <w:bottom w:w="0" w:type="dxa"/>
              <w:right w:w="0" w:type="dxa"/>
            </w:tcMar>
          </w:tcPr>
          <w:p w:rsidR="00BE26A3" w:rsidRDefault="00CD5FCB">
            <w:pPr>
              <w:spacing w:line="320" w:lineRule="atLeast"/>
              <w:ind w:left="60" w:right="60"/>
              <w:jc w:val="right"/>
              <w:rPr>
                <w:rFonts w:ascii="MingLiU" w:eastAsia="MingLiU" w:hAnsi="MingLiU"/>
                <w:sz w:val="18"/>
              </w:rPr>
            </w:pPr>
            <w:r>
              <w:rPr>
                <w:rFonts w:ascii="MingLiU" w:eastAsia="MingLiU" w:hAnsi="MingLiU"/>
                <w:sz w:val="18"/>
              </w:rPr>
              <w:t>.020</w:t>
            </w:r>
          </w:p>
        </w:tc>
      </w:tr>
      <w:tr w:rsidR="00BE26A3">
        <w:tblPrEx>
          <w:tblCellMar>
            <w:top w:w="0" w:type="dxa"/>
            <w:bottom w:w="0" w:type="dxa"/>
          </w:tblCellMar>
        </w:tblPrEx>
        <w:trPr>
          <w:cantSplit/>
          <w:trHeight w:val="940"/>
          <w:jc w:val="center"/>
        </w:trPr>
        <w:tc>
          <w:tcPr>
            <w:tcW w:w="7738" w:type="dxa"/>
            <w:gridSpan w:val="5"/>
            <w:tcBorders>
              <w:top w:val="none" w:sz="0" w:space="0" w:color="000000"/>
              <w:left w:val="none" w:sz="0" w:space="0" w:color="000000"/>
              <w:bottom w:val="none" w:sz="0" w:space="0" w:color="000000"/>
              <w:right w:val="none" w:sz="0" w:space="0" w:color="000000"/>
            </w:tcBorders>
            <w:shd w:val="clear" w:color="000000" w:fill="FFFFFF"/>
            <w:tcMar>
              <w:top w:w="0" w:type="dxa"/>
              <w:left w:w="0" w:type="dxa"/>
              <w:bottom w:w="0" w:type="dxa"/>
              <w:right w:w="0" w:type="dxa"/>
            </w:tcMar>
            <w:vAlign w:val="center"/>
          </w:tcPr>
          <w:p w:rsidR="00BE26A3" w:rsidRDefault="00CD5FCB">
            <w:pPr>
              <w:spacing w:line="320" w:lineRule="atLeast"/>
              <w:ind w:left="60" w:right="60"/>
              <w:rPr>
                <w:rFonts w:ascii="MingLiU" w:eastAsia="MingLiU" w:hAnsi="MingLiU"/>
                <w:sz w:val="18"/>
              </w:rPr>
            </w:pPr>
            <w:r>
              <w:rPr>
                <w:rFonts w:ascii="MingLiU" w:eastAsia="MingLiU" w:hAnsi="MingLiU"/>
                <w:sz w:val="18"/>
              </w:rPr>
              <w:t>提取方法</w:t>
            </w:r>
            <w:r>
              <w:rPr>
                <w:rFonts w:ascii="MingLiU" w:eastAsia="MingLiU" w:hAnsi="MingLiU"/>
                <w:sz w:val="18"/>
              </w:rPr>
              <w:t xml:space="preserve"> :</w:t>
            </w:r>
            <w:r>
              <w:rPr>
                <w:rFonts w:ascii="MingLiU" w:eastAsia="MingLiU" w:hAnsi="MingLiU"/>
                <w:sz w:val="18"/>
              </w:rPr>
              <w:t>主成份。</w:t>
            </w:r>
            <w:r>
              <w:rPr>
                <w:rFonts w:ascii="MingLiU" w:eastAsia="MingLiU" w:hAnsi="MingLiU"/>
                <w:sz w:val="18"/>
              </w:rPr>
              <w:t xml:space="preserve"> </w:t>
            </w:r>
          </w:p>
          <w:p w:rsidR="00BE26A3" w:rsidRDefault="00CD5FCB">
            <w:pPr>
              <w:spacing w:line="320" w:lineRule="atLeast"/>
              <w:ind w:left="60" w:right="60"/>
              <w:rPr>
                <w:rFonts w:ascii="MingLiU" w:eastAsia="MingLiU" w:hAnsi="MingLiU"/>
                <w:sz w:val="18"/>
              </w:rPr>
            </w:pPr>
            <w:r>
              <w:rPr>
                <w:rFonts w:ascii="MingLiU" w:eastAsia="MingLiU" w:hAnsi="MingLiU"/>
                <w:sz w:val="18"/>
              </w:rPr>
              <w:t xml:space="preserve"> </w:t>
            </w:r>
            <w:r>
              <w:rPr>
                <w:rFonts w:ascii="MingLiU" w:eastAsia="MingLiU" w:hAnsi="MingLiU"/>
                <w:sz w:val="18"/>
              </w:rPr>
              <w:t>旋转法</w:t>
            </w:r>
            <w:r>
              <w:rPr>
                <w:rFonts w:ascii="MingLiU" w:eastAsia="MingLiU" w:hAnsi="MingLiU"/>
                <w:sz w:val="18"/>
              </w:rPr>
              <w:t xml:space="preserve"> :</w:t>
            </w:r>
            <w:r>
              <w:rPr>
                <w:rFonts w:ascii="MingLiU" w:eastAsia="MingLiU" w:hAnsi="MingLiU"/>
                <w:sz w:val="18"/>
              </w:rPr>
              <w:t>具有</w:t>
            </w:r>
            <w:r>
              <w:rPr>
                <w:rFonts w:ascii="MingLiU" w:eastAsia="MingLiU" w:hAnsi="MingLiU"/>
                <w:sz w:val="18"/>
              </w:rPr>
              <w:t xml:space="preserve"> Kaiser </w:t>
            </w:r>
            <w:r>
              <w:rPr>
                <w:rFonts w:ascii="MingLiU" w:eastAsia="MingLiU" w:hAnsi="MingLiU"/>
                <w:sz w:val="18"/>
              </w:rPr>
              <w:t>标准化的正交旋转法。</w:t>
            </w:r>
            <w:r>
              <w:rPr>
                <w:rFonts w:ascii="MingLiU" w:eastAsia="MingLiU" w:hAnsi="MingLiU"/>
                <w:sz w:val="18"/>
              </w:rPr>
              <w:t xml:space="preserve"> </w:t>
            </w:r>
          </w:p>
          <w:p w:rsidR="00BE26A3" w:rsidRDefault="00CD5FCB">
            <w:pPr>
              <w:spacing w:line="320" w:lineRule="atLeast"/>
              <w:ind w:left="60" w:right="60"/>
              <w:rPr>
                <w:rFonts w:ascii="MingLiU" w:eastAsia="MingLiU" w:hAnsi="MingLiU"/>
                <w:sz w:val="18"/>
              </w:rPr>
            </w:pPr>
            <w:r>
              <w:rPr>
                <w:rFonts w:ascii="MingLiU" w:eastAsia="MingLiU" w:hAnsi="MingLiU"/>
                <w:sz w:val="18"/>
              </w:rPr>
              <w:t xml:space="preserve"> </w:t>
            </w:r>
            <w:r>
              <w:rPr>
                <w:rFonts w:ascii="MingLiU" w:eastAsia="MingLiU" w:hAnsi="MingLiU"/>
                <w:sz w:val="18"/>
              </w:rPr>
              <w:t>构成得分。</w:t>
            </w:r>
          </w:p>
        </w:tc>
      </w:tr>
    </w:tbl>
    <w:p w:rsidR="00BE26A3" w:rsidRDefault="00CD5FCB">
      <w:pPr>
        <w:spacing w:line="300" w:lineRule="auto"/>
        <w:ind w:firstLine="480"/>
        <w:rPr>
          <w:sz w:val="24"/>
        </w:rPr>
      </w:pPr>
      <w:r>
        <w:rPr>
          <w:sz w:val="24"/>
        </w:rPr>
        <w:t>因子得分是因子分析的重要体现，在此后的分析中可以用因子得分变量替代原始</w:t>
      </w:r>
      <w:r>
        <w:rPr>
          <w:sz w:val="24"/>
        </w:rPr>
        <w:t>变量进行数据建模，或利用因子得分变量对样本进行分类或评价等研究，进一步实现降维和简化问题的目的。由表</w:t>
      </w:r>
      <w:r>
        <w:rPr>
          <w:sz w:val="24"/>
        </w:rPr>
        <w:t>1-5</w:t>
      </w:r>
      <w:r>
        <w:rPr>
          <w:sz w:val="24"/>
        </w:rPr>
        <w:t>通过运算可得出各因子的综合得分：</w:t>
      </w:r>
    </w:p>
    <w:p w:rsidR="00BE26A3" w:rsidRDefault="00CD5FCB">
      <w:pPr>
        <w:spacing w:line="300" w:lineRule="auto"/>
        <w:ind w:firstLine="480"/>
        <w:rPr>
          <w:sz w:val="24"/>
        </w:rPr>
      </w:pPr>
      <w:r>
        <w:rPr>
          <w:noProof/>
        </w:rPr>
        <w:drawing>
          <wp:inline distT="0" distB="0" distL="114300" distR="114300">
            <wp:extent cx="2333625" cy="257175"/>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HPsP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gAAAAAgAAAAAAAAAAAAAAAAAAAAAAAAAAAAAAAAAAAAAAAAAAAAABbDgAAlQEAAAAAAAAAAAAAAAAAAA=="/>
                        </a:ext>
                      </a:extLst>
                    </pic:cNvPicPr>
                  </pic:nvPicPr>
                  <pic:blipFill>
                    <a:blip r:embed="rId13" cstate="print"/>
                    <a:stretch>
                      <a:fillRect/>
                    </a:stretch>
                  </pic:blipFill>
                  <pic:spPr>
                    <a:xfrm>
                      <a:off x="0" y="0"/>
                      <a:ext cx="2333625" cy="257175"/>
                    </a:xfrm>
                    <a:prstGeom prst="rect">
                      <a:avLst/>
                    </a:prstGeom>
                    <a:noFill/>
                    <a:ln w="12700">
                      <a:noFill/>
                    </a:ln>
                  </pic:spPr>
                </pic:pic>
              </a:graphicData>
            </a:graphic>
          </wp:inline>
        </w:drawing>
      </w:r>
      <w:r>
        <w:rPr>
          <w:sz w:val="24"/>
        </w:rPr>
        <w:t xml:space="preserve">  j=1,2,3,...k  </w:t>
      </w:r>
      <w:r w:rsidR="00BE26A3" w:rsidRPr="00BE26A3">
        <w:rPr>
          <w:noProof/>
        </w:rPr>
        <w:pict>
          <v:shapetype id="_x0000_m1027" coordsize="21600,21600" o:spt="1" o:preferrelative="t" path="m,l,21600r21600,l21600,xe">
            <v:stroke joinstyle="round"/>
            <v:path gradientshapeok="t" o:connecttype="rect"/>
          </v:shapetype>
        </w:pict>
      </w:r>
      <w:r w:rsidR="00BE26A3">
        <w:rPr>
          <w:noProof/>
        </w:rPr>
        <w:object w:dxaOrig="4320" w:dyaOrig="4320">
          <v:rect id="OLE 对象1" o:spid="_x0000_i1025" style="width:9pt;height:17.25pt;visibility:visible;mso-wrap-style:square;mso-wrap-distance-left:9pt;mso-wrap-distance-top:0;mso-wrap-distance-right:9pt;mso-wrap-distance-bottom:0" o:ole="" o:preferrelative="t" filled="f" stroked="f">
            <v:imagedata r:id="rId14" o:title="image8"/>
          </v:rect>
          <o:OLEObject Type="Embed" ProgID="Equations" ShapeID="OLE 对象1" DrawAspect="Content" ObjectID="_1570024496" r:id="rId15"/>
        </w:object>
      </w:r>
      <w:r>
        <w:rPr>
          <w:noProof/>
        </w:rPr>
        <w:drawing>
          <wp:inline distT="0" distB="0" distL="114300" distR="114300">
            <wp:extent cx="1200150" cy="238125"/>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HPsP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gAAAAAgAAAAAAAAAAAAAAAAAAAAAAAAAAAAAAAAAAAAAAAAAAAAABiBwAAdwEAAAAAAAAAAAAAAAAAAA=="/>
                        </a:ext>
                      </a:extLst>
                    </pic:cNvPicPr>
                  </pic:nvPicPr>
                  <pic:blipFill>
                    <a:blip r:embed="rId16" cstate="print"/>
                    <a:stretch>
                      <a:fillRect/>
                    </a:stretch>
                  </pic:blipFill>
                  <pic:spPr>
                    <a:xfrm>
                      <a:off x="0" y="0"/>
                      <a:ext cx="1200150" cy="238125"/>
                    </a:xfrm>
                    <a:prstGeom prst="rect">
                      <a:avLst/>
                    </a:prstGeom>
                    <a:noFill/>
                    <a:ln w="12700">
                      <a:noFill/>
                    </a:ln>
                  </pic:spPr>
                </pic:pic>
              </a:graphicData>
            </a:graphic>
          </wp:inline>
        </w:drawing>
      </w:r>
      <w:r>
        <w:rPr>
          <w:sz w:val="24"/>
        </w:rPr>
        <w:t xml:space="preserve">  </w:t>
      </w:r>
      <w:r>
        <w:rPr>
          <w:sz w:val="24"/>
        </w:rPr>
        <w:t>分别称为第</w:t>
      </w:r>
      <w:r>
        <w:rPr>
          <w:sz w:val="24"/>
        </w:rPr>
        <w:t>j</w:t>
      </w:r>
      <w:r>
        <w:rPr>
          <w:sz w:val="24"/>
        </w:rPr>
        <w:t>个因子和第</w:t>
      </w:r>
      <w:r>
        <w:rPr>
          <w:sz w:val="24"/>
        </w:rPr>
        <w:t>1,2,3</w:t>
      </w:r>
      <w:r>
        <w:rPr>
          <w:sz w:val="24"/>
        </w:rPr>
        <w:t>，</w:t>
      </w:r>
      <w:r>
        <w:rPr>
          <w:sz w:val="24"/>
        </w:rPr>
        <w:t>...</w:t>
      </w:r>
      <w:r>
        <w:rPr>
          <w:sz w:val="24"/>
        </w:rPr>
        <w:t>，</w:t>
      </w:r>
      <w:r>
        <w:rPr>
          <w:sz w:val="24"/>
        </w:rPr>
        <w:t>p</w:t>
      </w:r>
      <w:r>
        <w:rPr>
          <w:sz w:val="24"/>
        </w:rPr>
        <w:t>个原有变量间的因子值系数。</w:t>
      </w:r>
    </w:p>
    <w:p w:rsidR="00BE26A3" w:rsidRDefault="00CD5FCB">
      <w:pPr>
        <w:spacing w:line="300" w:lineRule="auto"/>
        <w:rPr>
          <w:b/>
          <w:bCs/>
          <w:sz w:val="24"/>
        </w:rPr>
      </w:pPr>
      <w:r>
        <w:rPr>
          <w:b/>
          <w:bCs/>
          <w:sz w:val="24"/>
        </w:rPr>
        <w:t>（二）因子分析结论</w:t>
      </w:r>
    </w:p>
    <w:p w:rsidR="00BE26A3" w:rsidRDefault="00CD5FCB">
      <w:pPr>
        <w:spacing w:line="300" w:lineRule="auto"/>
        <w:ind w:firstLine="480"/>
        <w:rPr>
          <w:sz w:val="24"/>
        </w:rPr>
      </w:pPr>
      <w:r>
        <w:rPr>
          <w:sz w:val="24"/>
        </w:rPr>
        <w:t>由表</w:t>
      </w:r>
      <w:r>
        <w:rPr>
          <w:sz w:val="24"/>
        </w:rPr>
        <w:t>1-6</w:t>
      </w:r>
      <w:r>
        <w:rPr>
          <w:sz w:val="24"/>
        </w:rPr>
        <w:t>各城市因子得分以及各因子的贡献率表</w:t>
      </w:r>
      <w:r>
        <w:rPr>
          <w:sz w:val="24"/>
        </w:rPr>
        <w:t>1-3</w:t>
      </w:r>
      <w:r>
        <w:rPr>
          <w:sz w:val="24"/>
        </w:rPr>
        <w:t>可得出各城市物流金融发展水平的综合排名，</w:t>
      </w:r>
      <w:r>
        <w:rPr>
          <w:noProof/>
        </w:rPr>
        <w:drawing>
          <wp:inline distT="0" distB="0" distL="114300" distR="114300">
            <wp:extent cx="847725" cy="438150"/>
            <wp:effectExtent l="0" t="0" r="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HPsP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oAAAAAgAAAAAAAAAAAAAAAAAAAAAAAAAAAAAAAAAAAAAAAAAAAAAA3BQAAsgIAAAAAAAAAAAAAAAAAAA=="/>
                        </a:ext>
                      </a:extLst>
                    </pic:cNvPicPr>
                  </pic:nvPicPr>
                  <pic:blipFill>
                    <a:blip r:embed="rId17" cstate="print"/>
                    <a:stretch>
                      <a:fillRect/>
                    </a:stretch>
                  </pic:blipFill>
                  <pic:spPr>
                    <a:xfrm>
                      <a:off x="0" y="0"/>
                      <a:ext cx="847725" cy="438150"/>
                    </a:xfrm>
                    <a:prstGeom prst="rect">
                      <a:avLst/>
                    </a:prstGeom>
                    <a:noFill/>
                    <a:ln w="12700">
                      <a:noFill/>
                    </a:ln>
                  </pic:spPr>
                </pic:pic>
              </a:graphicData>
            </a:graphic>
          </wp:inline>
        </w:drawing>
      </w:r>
      <w:r>
        <w:rPr>
          <w:sz w:val="24"/>
        </w:rPr>
        <w:t xml:space="preserve"> </w:t>
      </w:r>
      <w:r>
        <w:rPr>
          <w:sz w:val="24"/>
        </w:rPr>
        <w:t>，</w:t>
      </w:r>
      <w:r>
        <w:rPr>
          <w:sz w:val="24"/>
        </w:rPr>
        <w:t>Fj</w:t>
      </w:r>
      <w:r>
        <w:rPr>
          <w:sz w:val="24"/>
        </w:rPr>
        <w:t>为第</w:t>
      </w:r>
      <w:r>
        <w:rPr>
          <w:sz w:val="24"/>
        </w:rPr>
        <w:t>j</w:t>
      </w:r>
      <w:r>
        <w:rPr>
          <w:sz w:val="24"/>
        </w:rPr>
        <w:t>个因子综合得分，</w:t>
      </w:r>
      <w:r>
        <w:rPr>
          <w:sz w:val="24"/>
        </w:rPr>
        <w:t>Rj</w:t>
      </w:r>
      <w:r>
        <w:rPr>
          <w:sz w:val="24"/>
        </w:rPr>
        <w:t>为第</w:t>
      </w:r>
      <w:r>
        <w:rPr>
          <w:sz w:val="24"/>
        </w:rPr>
        <w:t>j</w:t>
      </w:r>
      <w:r>
        <w:rPr>
          <w:sz w:val="24"/>
        </w:rPr>
        <w:t>个因子的贡献率，结果如表</w:t>
      </w:r>
      <w:r>
        <w:rPr>
          <w:sz w:val="24"/>
        </w:rPr>
        <w:t>1-7</w:t>
      </w:r>
      <w:r>
        <w:rPr>
          <w:sz w:val="24"/>
        </w:rPr>
        <w:t>所示。</w:t>
      </w:r>
    </w:p>
    <w:p w:rsidR="00BE26A3" w:rsidRDefault="00CD5FCB">
      <w:pPr>
        <w:spacing w:line="320" w:lineRule="atLeast"/>
        <w:ind w:left="60" w:right="60"/>
        <w:jc w:val="center"/>
        <w:rPr>
          <w:rFonts w:ascii="Calibri Light" w:eastAsia="Calibri Light" w:hAnsi="Calibri Light"/>
          <w:b/>
          <w:sz w:val="18"/>
        </w:rPr>
      </w:pPr>
      <w:r>
        <w:rPr>
          <w:rFonts w:ascii="Calibri Light" w:eastAsia="Calibri Light" w:hAnsi="Calibri Light" w:hint="eastAsia"/>
          <w:b/>
          <w:position w:val="-5"/>
          <w:sz w:val="18"/>
        </w:rPr>
        <w:t>表</w:t>
      </w:r>
      <w:r>
        <w:rPr>
          <w:rFonts w:ascii="Calibri Light" w:eastAsia="Calibri Light" w:hAnsi="Calibri Light" w:hint="eastAsia"/>
          <w:b/>
          <w:position w:val="-5"/>
          <w:sz w:val="18"/>
        </w:rPr>
        <w:t>1-6</w:t>
      </w:r>
      <w:r>
        <w:rPr>
          <w:rFonts w:ascii="Calibri Light" w:eastAsia="Calibri Light" w:hAnsi="Calibri Light" w:hint="eastAsia"/>
          <w:b/>
          <w:position w:val="-5"/>
          <w:sz w:val="18"/>
        </w:rPr>
        <w:t>城市因子得分</w:t>
      </w:r>
    </w:p>
    <w:tbl>
      <w:tblPr>
        <w:tblW w:w="8774" w:type="dxa"/>
        <w:tblInd w:w="-108" w:type="dxa"/>
        <w:tblCellMar>
          <w:left w:w="10" w:type="dxa"/>
          <w:right w:w="10" w:type="dxa"/>
        </w:tblCellMar>
        <w:tblLook w:val="0000"/>
      </w:tblPr>
      <w:tblGrid>
        <w:gridCol w:w="1306"/>
        <w:gridCol w:w="1732"/>
        <w:gridCol w:w="1912"/>
        <w:gridCol w:w="1912"/>
        <w:gridCol w:w="1912"/>
      </w:tblGrid>
      <w:tr w:rsidR="00BE26A3">
        <w:tblPrEx>
          <w:tblCellMar>
            <w:top w:w="0" w:type="dxa"/>
            <w:bottom w:w="0" w:type="dxa"/>
          </w:tblCellMar>
        </w:tblPrEx>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主要城市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FAC1-1</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FAC2-1</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FAC3-1</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FAC4-1</w:t>
            </w:r>
          </w:p>
        </w:tc>
      </w:tr>
      <w:tr w:rsidR="00BE26A3">
        <w:tblPrEx>
          <w:tblCellMar>
            <w:top w:w="0" w:type="dxa"/>
            <w:bottom w:w="0" w:type="dxa"/>
          </w:tblCellMar>
        </w:tblPrEx>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北京市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2.37999</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-.54706</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-.12204</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-1.27021</w:t>
            </w:r>
          </w:p>
        </w:tc>
      </w:tr>
      <w:tr w:rsidR="00BE26A3">
        <w:tblPrEx>
          <w:tblCellMar>
            <w:top w:w="0" w:type="dxa"/>
            <w:bottom w:w="0" w:type="dxa"/>
          </w:tblCellMar>
        </w:tblPrEx>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上海市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1.27936</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1.46111</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-.87642</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1.27877</w:t>
            </w:r>
          </w:p>
        </w:tc>
      </w:tr>
      <w:tr w:rsidR="00BE26A3">
        <w:tblPrEx>
          <w:tblCellMar>
            <w:top w:w="0" w:type="dxa"/>
            <w:bottom w:w="0" w:type="dxa"/>
          </w:tblCellMar>
        </w:tblPrEx>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天津市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-.84286</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1.44396</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-1.43077</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-.62476</w:t>
            </w:r>
          </w:p>
        </w:tc>
      </w:tr>
      <w:tr w:rsidR="00BE26A3">
        <w:tblPrEx>
          <w:tblCellMar>
            <w:top w:w="0" w:type="dxa"/>
            <w:bottom w:w="0" w:type="dxa"/>
          </w:tblCellMar>
        </w:tblPrEx>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广州市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.05095</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.08046</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1.31100</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2.08034</w:t>
            </w:r>
          </w:p>
        </w:tc>
      </w:tr>
      <w:tr w:rsidR="00BE26A3">
        <w:tblPrEx>
          <w:tblCellMar>
            <w:top w:w="0" w:type="dxa"/>
            <w:bottom w:w="0" w:type="dxa"/>
          </w:tblCellMar>
        </w:tblPrEx>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深圳市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-.25516</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1.25183</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2.18272</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-1.25752</w:t>
            </w:r>
          </w:p>
        </w:tc>
      </w:tr>
      <w:tr w:rsidR="00BE26A3">
        <w:tblPrEx>
          <w:tblCellMar>
            <w:top w:w="0" w:type="dxa"/>
            <w:bottom w:w="0" w:type="dxa"/>
          </w:tblCellMar>
        </w:tblPrEx>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成都市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.11949</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-.77081</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-.39887</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.14951</w:t>
            </w:r>
          </w:p>
        </w:tc>
      </w:tr>
      <w:tr w:rsidR="00BE26A3">
        <w:tblPrEx>
          <w:tblCellMar>
            <w:top w:w="0" w:type="dxa"/>
            <w:bottom w:w="0" w:type="dxa"/>
          </w:tblCellMar>
        </w:tblPrEx>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大连市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-.92236</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.08281</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-.53928</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.05243</w:t>
            </w:r>
          </w:p>
        </w:tc>
      </w:tr>
      <w:tr w:rsidR="00BE26A3">
        <w:tblPrEx>
          <w:tblCellMar>
            <w:top w:w="0" w:type="dxa"/>
            <w:bottom w:w="0" w:type="dxa"/>
          </w:tblCellMar>
        </w:tblPrEx>
        <w:trPr>
          <w:trHeight w:val="197"/>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郑州市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-.65414</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-.44794</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-.15725</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-.27204</w:t>
            </w:r>
          </w:p>
        </w:tc>
      </w:tr>
      <w:tr w:rsidR="00BE26A3">
        <w:tblPrEx>
          <w:tblCellMar>
            <w:top w:w="0" w:type="dxa"/>
            <w:bottom w:w="0" w:type="dxa"/>
          </w:tblCellMar>
        </w:tblPrEx>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西安市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-.07835</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-1.44460</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.15991</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.43190</w:t>
            </w:r>
          </w:p>
        </w:tc>
      </w:tr>
      <w:tr w:rsidR="00BE26A3">
        <w:tblPrEx>
          <w:tblCellMar>
            <w:top w:w="0" w:type="dxa"/>
            <w:bottom w:w="0" w:type="dxa"/>
          </w:tblCellMar>
        </w:tblPrEx>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昆明市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-.68308</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-1.00376</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-.36311</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-.33232</w:t>
            </w:r>
          </w:p>
        </w:tc>
      </w:tr>
      <w:tr w:rsidR="00BE26A3">
        <w:tblPrEx>
          <w:tblCellMar>
            <w:top w:w="0" w:type="dxa"/>
            <w:bottom w:w="0" w:type="dxa"/>
          </w:tblCellMar>
        </w:tblPrEx>
        <w:trPr>
          <w:trHeight w:val="90"/>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杭州市</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-.39383</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-.10600</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.23411</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-.23610</w:t>
            </w:r>
          </w:p>
        </w:tc>
      </w:tr>
    </w:tbl>
    <w:p w:rsidR="00BE26A3" w:rsidRDefault="00BE26A3">
      <w:pPr>
        <w:spacing w:line="300" w:lineRule="auto"/>
        <w:rPr>
          <w:szCs w:val="21"/>
        </w:rPr>
      </w:pPr>
    </w:p>
    <w:p w:rsidR="00BE26A3" w:rsidRDefault="00CD5FCB">
      <w:pPr>
        <w:spacing w:line="300" w:lineRule="auto"/>
        <w:ind w:firstLine="480"/>
        <w:rPr>
          <w:rFonts w:ascii="Arial" w:hAnsi="Arial" w:cs="Arial"/>
          <w:sz w:val="24"/>
        </w:rPr>
      </w:pPr>
      <w:r>
        <w:rPr>
          <w:sz w:val="24"/>
        </w:rPr>
        <w:lastRenderedPageBreak/>
        <w:t>由表</w:t>
      </w:r>
      <w:r>
        <w:rPr>
          <w:sz w:val="24"/>
        </w:rPr>
        <w:t>1-7</w:t>
      </w:r>
      <w:r>
        <w:rPr>
          <w:sz w:val="24"/>
        </w:rPr>
        <w:t>可以得出，上海、北京以及广州各城市的因子综合得分排名位列前三，从一定程度上反映出这三个城市航空港区的物流金融发展水平相比其他城市较高。郑州市的因子综合得分排名第十，相比其他城市还存在一定的差距。</w:t>
      </w:r>
    </w:p>
    <w:p w:rsidR="00BE26A3" w:rsidRDefault="00CD5FCB">
      <w:pPr>
        <w:spacing w:line="320" w:lineRule="atLeast"/>
        <w:ind w:left="60" w:right="60"/>
        <w:jc w:val="center"/>
        <w:rPr>
          <w:sz w:val="24"/>
        </w:rPr>
      </w:pPr>
      <w:r>
        <w:rPr>
          <w:rFonts w:ascii="MingLiU" w:eastAsia="MingLiU" w:hAnsi="MingLiU" w:hint="eastAsia"/>
          <w:b/>
          <w:sz w:val="18"/>
        </w:rPr>
        <w:t>表</w:t>
      </w:r>
      <w:r>
        <w:rPr>
          <w:rFonts w:ascii="MingLiU" w:eastAsia="MingLiU" w:hAnsi="MingLiU" w:hint="eastAsia"/>
          <w:b/>
          <w:sz w:val="18"/>
        </w:rPr>
        <w:t>1-7</w:t>
      </w:r>
      <w:r>
        <w:rPr>
          <w:rFonts w:ascii="MingLiU" w:eastAsia="MingLiU" w:hAnsi="MingLiU" w:hint="eastAsia"/>
          <w:b/>
          <w:sz w:val="18"/>
        </w:rPr>
        <w:t>城市综合排名</w:t>
      </w:r>
    </w:p>
    <w:tbl>
      <w:tblPr>
        <w:tblW w:w="4554" w:type="dxa"/>
        <w:jc w:val="center"/>
        <w:tblCellMar>
          <w:left w:w="10" w:type="dxa"/>
          <w:right w:w="10" w:type="dxa"/>
        </w:tblCellMar>
        <w:tblLook w:val="0000"/>
      </w:tblPr>
      <w:tblGrid>
        <w:gridCol w:w="1306"/>
        <w:gridCol w:w="1613"/>
        <w:gridCol w:w="1635"/>
      </w:tblGrid>
      <w:tr w:rsidR="00BE26A3">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主要城市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城市因子得分</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城市综合排名</w:t>
            </w:r>
          </w:p>
        </w:tc>
      </w:tr>
      <w:tr w:rsidR="00BE26A3">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北京市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0.783930886</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2</w:t>
            </w:r>
          </w:p>
        </w:tc>
      </w:tr>
      <w:tr w:rsidR="00BE26A3">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上海市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0.971389478</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1</w:t>
            </w:r>
          </w:p>
        </w:tc>
      </w:tr>
      <w:tr w:rsidR="00BE26A3">
        <w:tblPrEx>
          <w:tblCellMar>
            <w:top w:w="0" w:type="dxa"/>
            <w:bottom w:w="0" w:type="dxa"/>
          </w:tblCellMar>
        </w:tblPrEx>
        <w:trPr>
          <w:trHeight w:val="122"/>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天津市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-0.178193451</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6</w:t>
            </w:r>
          </w:p>
        </w:tc>
      </w:tr>
      <w:tr w:rsidR="00BE26A3">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广州市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0.341514742</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3</w:t>
            </w:r>
          </w:p>
        </w:tc>
      </w:tr>
      <w:tr w:rsidR="00BE26A3">
        <w:tblPrEx>
          <w:tblCellMar>
            <w:top w:w="0" w:type="dxa"/>
            <w:bottom w:w="0" w:type="dxa"/>
          </w:tblCellMar>
        </w:tblPrEx>
        <w:trPr>
          <w:trHeight w:val="137"/>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深圳市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0.31392662</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4</w:t>
            </w:r>
          </w:p>
        </w:tc>
      </w:tr>
      <w:tr w:rsidR="00BE26A3">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成都市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-0.174251395</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5</w:t>
            </w:r>
          </w:p>
        </w:tc>
      </w:tr>
      <w:tr w:rsidR="00BE26A3">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大连市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-0.42960605</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9</w:t>
            </w:r>
          </w:p>
        </w:tc>
      </w:tr>
      <w:tr w:rsidR="00BE26A3">
        <w:tblPrEx>
          <w:tblCellMar>
            <w:top w:w="0" w:type="dxa"/>
            <w:bottom w:w="0" w:type="dxa"/>
          </w:tblCellMar>
        </w:tblPrEx>
        <w:trPr>
          <w:trHeight w:val="197"/>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郑州市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-0.442582397</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10</w:t>
            </w:r>
          </w:p>
        </w:tc>
      </w:tr>
      <w:tr w:rsidR="00BE26A3">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西安市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-0.361837711</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8</w:t>
            </w:r>
          </w:p>
        </w:tc>
      </w:tr>
      <w:tr w:rsidR="00BE26A3">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昆明市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-0.625362437</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11</w:t>
            </w:r>
          </w:p>
        </w:tc>
      </w:tr>
      <w:tr w:rsidR="00BE26A3">
        <w:tblPrEx>
          <w:tblCellMar>
            <w:top w:w="0" w:type="dxa"/>
            <w:bottom w:w="0" w:type="dxa"/>
          </w:tblCellMar>
        </w:tblPrEx>
        <w:trPr>
          <w:trHeight w:val="90"/>
          <w:jc w:val="center"/>
        </w:trPr>
        <w:tc>
          <w:tcPr>
            <w:tcW w:w="1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Cs w:val="21"/>
              </w:rPr>
            </w:pPr>
            <w:r>
              <w:rPr>
                <w:szCs w:val="21"/>
              </w:rPr>
              <w:t>杭州市</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-0.198923889</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6A3" w:rsidRDefault="00CD5FCB">
            <w:pPr>
              <w:jc w:val="center"/>
              <w:rPr>
                <w:szCs w:val="21"/>
              </w:rPr>
            </w:pPr>
            <w:r>
              <w:rPr>
                <w:szCs w:val="21"/>
              </w:rPr>
              <w:t>7</w:t>
            </w:r>
          </w:p>
        </w:tc>
      </w:tr>
    </w:tbl>
    <w:p w:rsidR="00BE26A3" w:rsidRDefault="00CD5FCB">
      <w:pPr>
        <w:jc w:val="left"/>
        <w:rPr>
          <w:rFonts w:ascii="Calibri Light" w:eastAsia="Calibri Light" w:hAnsi="Calibri Light"/>
          <w:b/>
          <w:bCs/>
          <w:sz w:val="28"/>
          <w:szCs w:val="28"/>
        </w:rPr>
      </w:pPr>
      <w:r>
        <w:rPr>
          <w:rFonts w:ascii="Calibri Light" w:eastAsia="Calibri Light" w:hAnsi="Calibri Light" w:hint="eastAsia"/>
          <w:b/>
          <w:bCs/>
          <w:sz w:val="28"/>
          <w:szCs w:val="28"/>
        </w:rPr>
        <w:t>四、促进航空港区物流金融发展的对策建议</w:t>
      </w:r>
    </w:p>
    <w:p w:rsidR="00BE26A3" w:rsidRDefault="00CD5FCB">
      <w:pPr>
        <w:spacing w:line="300" w:lineRule="auto"/>
        <w:ind w:firstLine="480"/>
        <w:rPr>
          <w:sz w:val="24"/>
        </w:rPr>
      </w:pPr>
      <w:r>
        <w:rPr>
          <w:sz w:val="24"/>
        </w:rPr>
        <w:t>综合表</w:t>
      </w:r>
      <w:r>
        <w:rPr>
          <w:sz w:val="24"/>
        </w:rPr>
        <w:t>1-6</w:t>
      </w:r>
      <w:r>
        <w:rPr>
          <w:sz w:val="24"/>
        </w:rPr>
        <w:t>和表</w:t>
      </w:r>
      <w:r>
        <w:rPr>
          <w:sz w:val="24"/>
        </w:rPr>
        <w:t>1-7</w:t>
      </w:r>
      <w:r>
        <w:rPr>
          <w:sz w:val="24"/>
        </w:rPr>
        <w:t>，城市综合得分排名位列前四名的上海市、北京市、广州市和深圳市，在提取的四个因子综合得分上分别占有较高的优势。由表</w:t>
      </w:r>
      <w:r>
        <w:rPr>
          <w:sz w:val="24"/>
        </w:rPr>
        <w:t>1-6</w:t>
      </w:r>
      <w:r>
        <w:rPr>
          <w:sz w:val="24"/>
        </w:rPr>
        <w:t>各城市的因子得分可以看出，上海市在第</w:t>
      </w:r>
      <w:r>
        <w:rPr>
          <w:sz w:val="24"/>
        </w:rPr>
        <w:t>2</w:t>
      </w:r>
      <w:r>
        <w:rPr>
          <w:sz w:val="24"/>
        </w:rPr>
        <w:t>个因子得分上最高，第</w:t>
      </w:r>
      <w:r>
        <w:rPr>
          <w:sz w:val="24"/>
        </w:rPr>
        <w:t>2</w:t>
      </w:r>
      <w:r>
        <w:rPr>
          <w:sz w:val="24"/>
        </w:rPr>
        <w:t>个因子主要包括了当地与物流业紧密相关的工业企业的发展规模。物流金融离不开第三方物流业的发展，而物流首先表现为商品和货物的流通，与生产制造加工业紧密相连。北京市在第</w:t>
      </w:r>
      <w:r>
        <w:rPr>
          <w:sz w:val="24"/>
        </w:rPr>
        <w:t>1</w:t>
      </w:r>
      <w:r>
        <w:rPr>
          <w:sz w:val="24"/>
        </w:rPr>
        <w:t>个因子得分最高，第</w:t>
      </w:r>
      <w:r>
        <w:rPr>
          <w:sz w:val="24"/>
        </w:rPr>
        <w:t>1</w:t>
      </w:r>
      <w:r>
        <w:rPr>
          <w:sz w:val="24"/>
        </w:rPr>
        <w:t>个因子主要包括了当地金融业、物流业发展水平以及信息化建设，这充分反映了物流金融的本质，即资金流、商品流和信息流的统一。广州市在第</w:t>
      </w:r>
      <w:r>
        <w:rPr>
          <w:sz w:val="24"/>
        </w:rPr>
        <w:t>4</w:t>
      </w:r>
      <w:r>
        <w:rPr>
          <w:sz w:val="24"/>
        </w:rPr>
        <w:t>个因子上得分最高，第</w:t>
      </w:r>
      <w:r>
        <w:rPr>
          <w:sz w:val="24"/>
        </w:rPr>
        <w:t>4</w:t>
      </w:r>
      <w:r>
        <w:rPr>
          <w:sz w:val="24"/>
        </w:rPr>
        <w:t>个因子主要是有关运输方面的基础设施建设，而基础设施建设是物流金融中商品流动的基础。深圳市在第</w:t>
      </w:r>
      <w:r>
        <w:rPr>
          <w:sz w:val="24"/>
        </w:rPr>
        <w:t>3</w:t>
      </w:r>
      <w:r>
        <w:rPr>
          <w:sz w:val="24"/>
        </w:rPr>
        <w:t>个因子得分上最高，第</w:t>
      </w:r>
      <w:r>
        <w:rPr>
          <w:sz w:val="24"/>
        </w:rPr>
        <w:t>3</w:t>
      </w:r>
      <w:r>
        <w:rPr>
          <w:sz w:val="24"/>
        </w:rPr>
        <w:t>个因子包括了年末邮政局数和全社会固定资产投资总额，此两项与物流金融发展的外部环境紧密相关。郑州市城市综合排名第十，在提取四个因子中城市因子得分都比较低，相比其他航空港区物流金融的发展仍然存在很大差距。因此，提升郑州航空港区物流金融的发展，成为推进郑州航空港区经济发展的重要思路。</w:t>
      </w:r>
      <w:bookmarkStart w:id="1" w:name="OLE_LINK14"/>
      <w:bookmarkEnd w:id="1"/>
      <w:r>
        <w:rPr>
          <w:sz w:val="24"/>
        </w:rPr>
        <w:t>物流企业、融资企业和金融机构是物流金融链条中最重要的三个参与主体，物流企业的盈利能力提升、融资</w:t>
      </w:r>
      <w:r>
        <w:rPr>
          <w:sz w:val="24"/>
        </w:rPr>
        <w:t>企业的资质优化、金融机构的金融创新成为物流金融发展的重要环节。有鉴于此，论文从以上三部分分别提出对策建议。</w:t>
      </w:r>
    </w:p>
    <w:p w:rsidR="00BE26A3" w:rsidRDefault="00CD5FCB">
      <w:pPr>
        <w:spacing w:line="300" w:lineRule="auto"/>
        <w:rPr>
          <w:b/>
          <w:bCs/>
          <w:sz w:val="24"/>
        </w:rPr>
      </w:pPr>
      <w:r>
        <w:rPr>
          <w:b/>
          <w:bCs/>
          <w:sz w:val="24"/>
        </w:rPr>
        <w:t>（一）提升物流企业盈利能力</w:t>
      </w:r>
    </w:p>
    <w:p w:rsidR="00BE26A3" w:rsidRDefault="00CD5FCB">
      <w:pPr>
        <w:spacing w:line="300" w:lineRule="auto"/>
        <w:ind w:firstLine="480"/>
        <w:rPr>
          <w:sz w:val="24"/>
        </w:rPr>
      </w:pPr>
      <w:r>
        <w:rPr>
          <w:sz w:val="24"/>
        </w:rPr>
        <w:t>物流企业作为物流金融中的第三方，有着不可替代的作用。在现代物流业务中，如仓储、运输等基础性的物流操作的利润率己越来越低，主要利润来源已转向各种增值服务，物流金融由此成为新的利润增长点。物流金融的顺利开展与第三方参与者物流企业的规模、实力存在很大关系。第三方物流企业必须</w:t>
      </w:r>
      <w:r>
        <w:rPr>
          <w:sz w:val="24"/>
        </w:rPr>
        <w:lastRenderedPageBreak/>
        <w:t>具备相当的资本和业务规模，以实现良好的商业信用，同时要有强大的仓储运输服务能力，以实现对货物的有效监管，降低</w:t>
      </w:r>
      <w:r>
        <w:rPr>
          <w:sz w:val="24"/>
        </w:rPr>
        <w:t>风险。随着郑州机场的强劲发展，特别是货运量的增长，入驻郑州机场的知名物流和货运代理企业达到</w:t>
      </w:r>
      <w:r>
        <w:rPr>
          <w:sz w:val="24"/>
        </w:rPr>
        <w:t>40</w:t>
      </w:r>
      <w:r>
        <w:rPr>
          <w:sz w:val="24"/>
        </w:rPr>
        <w:t>多家。</w:t>
      </w:r>
      <w:r>
        <w:rPr>
          <w:sz w:val="24"/>
        </w:rPr>
        <w:t>2016</w:t>
      </w:r>
      <w:r>
        <w:rPr>
          <w:sz w:val="24"/>
        </w:rPr>
        <w:t>年一季度，综保区保税进口共推送订单</w:t>
      </w:r>
      <w:r>
        <w:rPr>
          <w:sz w:val="24"/>
        </w:rPr>
        <w:t>54.4</w:t>
      </w:r>
      <w:r>
        <w:rPr>
          <w:sz w:val="24"/>
        </w:rPr>
        <w:t>万单，货值约</w:t>
      </w:r>
      <w:r>
        <w:rPr>
          <w:sz w:val="24"/>
        </w:rPr>
        <w:t>6323</w:t>
      </w:r>
      <w:r>
        <w:rPr>
          <w:sz w:val="24"/>
        </w:rPr>
        <w:t>万元。港区内已有</w:t>
      </w:r>
      <w:r>
        <w:rPr>
          <w:sz w:val="24"/>
        </w:rPr>
        <w:t>56</w:t>
      </w:r>
      <w:r>
        <w:rPr>
          <w:sz w:val="24"/>
        </w:rPr>
        <w:t>家跨境电商完成企业备案，正在办理备案注册手续</w:t>
      </w:r>
      <w:r>
        <w:rPr>
          <w:sz w:val="24"/>
        </w:rPr>
        <w:t>18</w:t>
      </w:r>
      <w:r>
        <w:rPr>
          <w:sz w:val="24"/>
        </w:rPr>
        <w:t>家，已经开展业务的电商及平台企业</w:t>
      </w:r>
      <w:r>
        <w:rPr>
          <w:sz w:val="24"/>
        </w:rPr>
        <w:t>16</w:t>
      </w:r>
      <w:r>
        <w:rPr>
          <w:sz w:val="24"/>
        </w:rPr>
        <w:t>家，支付企业</w:t>
      </w:r>
      <w:r>
        <w:rPr>
          <w:sz w:val="24"/>
        </w:rPr>
        <w:t>11</w:t>
      </w:r>
      <w:r>
        <w:rPr>
          <w:sz w:val="24"/>
        </w:rPr>
        <w:t>家，仓储企业</w:t>
      </w:r>
      <w:r>
        <w:rPr>
          <w:sz w:val="24"/>
        </w:rPr>
        <w:t>7</w:t>
      </w:r>
      <w:r>
        <w:rPr>
          <w:sz w:val="24"/>
        </w:rPr>
        <w:t>家，物流企业</w:t>
      </w:r>
      <w:r>
        <w:rPr>
          <w:sz w:val="24"/>
        </w:rPr>
        <w:t>6</w:t>
      </w:r>
      <w:r>
        <w:rPr>
          <w:sz w:val="24"/>
        </w:rPr>
        <w:t>家，报关企业</w:t>
      </w:r>
      <w:r>
        <w:rPr>
          <w:sz w:val="24"/>
        </w:rPr>
        <w:t>7</w:t>
      </w:r>
      <w:r>
        <w:rPr>
          <w:sz w:val="24"/>
        </w:rPr>
        <w:t>家。郑州航空港区物流企业的发展速度得到提升，但是物流企业的发展质量仍然面临着诸多问题。以中储集团为例，中储的外围战略是以仓储业务为基础，以供应链为发展方向，形成大宗贸易、动产监管、</w:t>
      </w:r>
      <w:r>
        <w:rPr>
          <w:sz w:val="24"/>
        </w:rPr>
        <w:t>加工配送、货运代理结合的综合物流业务新模式，物流金融就是其中一项重要的增值业务，满足了客户的不同层次需求。表</w:t>
      </w:r>
      <w:r>
        <w:rPr>
          <w:sz w:val="24"/>
        </w:rPr>
        <w:t>1-8</w:t>
      </w:r>
      <w:r>
        <w:rPr>
          <w:sz w:val="24"/>
        </w:rPr>
        <w:t>显示了</w:t>
      </w:r>
      <w:r>
        <w:rPr>
          <w:sz w:val="24"/>
        </w:rPr>
        <w:t>2016</w:t>
      </w:r>
      <w:r>
        <w:rPr>
          <w:sz w:val="24"/>
        </w:rPr>
        <w:t>年上半年中储集团在郑州市主要子公司、参股公司的一些发展状况。从表中可以看出，中储集团在郑州市的四家主要子公司、参股公司中有三家企业的净利润为负值，这将进一步导致郑州航空港区物流金融业务的开展受到制约。因此，物流企业盈利能力的提升成为郑州航空港区发展物流金融的关键步骤。</w:t>
      </w:r>
    </w:p>
    <w:p w:rsidR="00BE26A3" w:rsidRDefault="00CD5FCB">
      <w:pPr>
        <w:ind w:firstLine="223"/>
        <w:jc w:val="center"/>
      </w:pPr>
      <w:r>
        <w:rPr>
          <w:b/>
          <w:bCs/>
          <w:sz w:val="18"/>
          <w:szCs w:val="18"/>
        </w:rPr>
        <w:t>表</w:t>
      </w:r>
      <w:r>
        <w:rPr>
          <w:b/>
          <w:bCs/>
          <w:sz w:val="18"/>
          <w:szCs w:val="18"/>
        </w:rPr>
        <w:t>1--8. 2016</w:t>
      </w:r>
      <w:r>
        <w:rPr>
          <w:b/>
          <w:bCs/>
          <w:sz w:val="18"/>
          <w:szCs w:val="18"/>
        </w:rPr>
        <w:t>年上半年中储主要子公司、参股公司分析</w:t>
      </w:r>
    </w:p>
    <w:tbl>
      <w:tblPr>
        <w:tblW w:w="9202" w:type="dxa"/>
        <w:jc w:val="center"/>
        <w:tblCellMar>
          <w:left w:w="10" w:type="dxa"/>
          <w:right w:w="10" w:type="dxa"/>
        </w:tblCellMar>
        <w:tblLook w:val="0000"/>
      </w:tblPr>
      <w:tblGrid>
        <w:gridCol w:w="1635"/>
        <w:gridCol w:w="1102"/>
        <w:gridCol w:w="1230"/>
        <w:gridCol w:w="1095"/>
        <w:gridCol w:w="1140"/>
        <w:gridCol w:w="1035"/>
        <w:gridCol w:w="975"/>
        <w:gridCol w:w="990"/>
      </w:tblGrid>
      <w:tr w:rsidR="00BE26A3">
        <w:tblPrEx>
          <w:tblCellMar>
            <w:top w:w="0" w:type="dxa"/>
            <w:bottom w:w="0" w:type="dxa"/>
          </w:tblCellMar>
        </w:tblPrEx>
        <w:trPr>
          <w:trHeight w:val="404"/>
          <w:jc w:val="center"/>
        </w:trPr>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子公司名称</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注册地址</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业务性质</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注册资本（万元）</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资产</w:t>
            </w:r>
            <w:r>
              <w:rPr>
                <w:sz w:val="18"/>
                <w:szCs w:val="18"/>
              </w:rPr>
              <w:t>总额（万元）</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负债总额（万元）</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营业总收入（万元）</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净利润</w:t>
            </w:r>
          </w:p>
        </w:tc>
      </w:tr>
      <w:tr w:rsidR="00BE26A3">
        <w:tblPrEx>
          <w:tblCellMar>
            <w:top w:w="0" w:type="dxa"/>
            <w:bottom w:w="0" w:type="dxa"/>
          </w:tblCellMar>
        </w:tblPrEx>
        <w:trPr>
          <w:jc w:val="center"/>
        </w:trPr>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rFonts w:ascii="宋体" w:eastAsia="宋体" w:hAnsi="宋体" w:cs="宋体"/>
                <w:sz w:val="18"/>
                <w:szCs w:val="18"/>
              </w:rPr>
              <w:t>郑州恒科实业有限公司</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rFonts w:ascii="宋体" w:eastAsia="宋体" w:hAnsi="宋体" w:cs="宋体"/>
                <w:sz w:val="18"/>
                <w:szCs w:val="18"/>
              </w:rPr>
              <w:t>郑州市</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rFonts w:ascii="宋体" w:eastAsia="宋体" w:hAnsi="宋体" w:cs="宋体"/>
                <w:sz w:val="18"/>
                <w:szCs w:val="18"/>
              </w:rPr>
              <w:t>工业生产</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1,000.00</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10,513.07</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1,674.58</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3,159.96</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-450.21</w:t>
            </w:r>
          </w:p>
        </w:tc>
      </w:tr>
      <w:tr w:rsidR="00BE26A3">
        <w:tblPrEx>
          <w:tblCellMar>
            <w:top w:w="0" w:type="dxa"/>
            <w:bottom w:w="0" w:type="dxa"/>
          </w:tblCellMar>
        </w:tblPrEx>
        <w:trPr>
          <w:trHeight w:val="374"/>
          <w:jc w:val="center"/>
        </w:trPr>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rFonts w:ascii="宋体" w:eastAsia="宋体" w:hAnsi="宋体" w:cs="宋体"/>
                <w:sz w:val="18"/>
                <w:szCs w:val="18"/>
              </w:rPr>
            </w:pPr>
            <w:r>
              <w:rPr>
                <w:rFonts w:ascii="宋体" w:eastAsia="宋体" w:hAnsi="宋体" w:cs="宋体"/>
                <w:sz w:val="18"/>
                <w:szCs w:val="18"/>
              </w:rPr>
              <w:t>中储恒科物联网系统有限公司</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rFonts w:ascii="宋体" w:eastAsia="宋体" w:hAnsi="宋体" w:cs="宋体"/>
                <w:sz w:val="18"/>
                <w:szCs w:val="18"/>
              </w:rPr>
              <w:t>郑州市</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rFonts w:ascii="宋体" w:eastAsia="宋体" w:hAnsi="宋体" w:cs="宋体"/>
                <w:sz w:val="18"/>
                <w:szCs w:val="18"/>
              </w:rPr>
              <w:t>电子商务</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9,000.00</w:t>
            </w:r>
          </w:p>
          <w:p w:rsidR="00BE26A3" w:rsidRDefault="00BE26A3">
            <w:pPr>
              <w:jc w:val="center"/>
              <w:rPr>
                <w:sz w:val="18"/>
                <w:szCs w:val="18"/>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11,022.62</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2,588.05</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4,279.30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630.02</w:t>
            </w:r>
          </w:p>
        </w:tc>
      </w:tr>
      <w:tr w:rsidR="00BE26A3">
        <w:tblPrEx>
          <w:tblCellMar>
            <w:top w:w="0" w:type="dxa"/>
            <w:bottom w:w="0" w:type="dxa"/>
          </w:tblCellMar>
        </w:tblPrEx>
        <w:trPr>
          <w:jc w:val="center"/>
        </w:trPr>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rFonts w:ascii="宋体" w:eastAsia="宋体" w:hAnsi="宋体" w:cs="宋体"/>
                <w:sz w:val="18"/>
                <w:szCs w:val="18"/>
              </w:rPr>
              <w:t>中储郑州物流有限公司</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rFonts w:ascii="宋体" w:eastAsia="宋体" w:hAnsi="宋体" w:cs="宋体"/>
                <w:sz w:val="18"/>
                <w:szCs w:val="18"/>
              </w:rPr>
              <w:t>郑州市</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rFonts w:ascii="宋体" w:eastAsia="宋体" w:hAnsi="宋体" w:cs="宋体"/>
                <w:sz w:val="18"/>
                <w:szCs w:val="18"/>
              </w:rPr>
              <w:t>电子商务</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8,000.00</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6,584.06</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 xml:space="preserve">638.39 </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-46.28</w:t>
            </w:r>
          </w:p>
        </w:tc>
      </w:tr>
      <w:tr w:rsidR="00BE26A3">
        <w:tblPrEx>
          <w:tblCellMar>
            <w:top w:w="0" w:type="dxa"/>
            <w:bottom w:w="0" w:type="dxa"/>
          </w:tblCellMar>
        </w:tblPrEx>
        <w:trPr>
          <w:jc w:val="center"/>
        </w:trPr>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rFonts w:ascii="宋体" w:eastAsia="宋体" w:hAnsi="宋体" w:cs="宋体"/>
                <w:sz w:val="18"/>
                <w:szCs w:val="18"/>
              </w:rPr>
              <w:t>中储河南保税物流有限公司</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rFonts w:ascii="宋体" w:eastAsia="宋体" w:hAnsi="宋体" w:cs="宋体"/>
                <w:sz w:val="18"/>
                <w:szCs w:val="18"/>
              </w:rPr>
              <w:t>郑州市</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rFonts w:ascii="宋体" w:eastAsia="宋体" w:hAnsi="宋体" w:cs="宋体"/>
                <w:sz w:val="18"/>
                <w:szCs w:val="18"/>
              </w:rPr>
              <w:t>仓储物流</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10,000.00</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10,837.23</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846.13</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137.01</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6A3" w:rsidRDefault="00CD5FCB">
            <w:pPr>
              <w:jc w:val="center"/>
              <w:rPr>
                <w:sz w:val="18"/>
                <w:szCs w:val="18"/>
              </w:rPr>
            </w:pPr>
            <w:r>
              <w:rPr>
                <w:sz w:val="18"/>
                <w:szCs w:val="18"/>
              </w:rPr>
              <w:t>-5.70</w:t>
            </w:r>
          </w:p>
        </w:tc>
      </w:tr>
    </w:tbl>
    <w:p w:rsidR="00BE26A3" w:rsidRDefault="00CD5FCB">
      <w:pPr>
        <w:ind w:firstLine="223"/>
        <w:jc w:val="left"/>
        <w:rPr>
          <w:sz w:val="18"/>
          <w:szCs w:val="18"/>
        </w:rPr>
      </w:pPr>
      <w:r>
        <w:rPr>
          <w:sz w:val="18"/>
          <w:szCs w:val="18"/>
        </w:rPr>
        <w:t>注：数据来源中储发展股份有限公司官网</w:t>
      </w:r>
    </w:p>
    <w:p w:rsidR="00BE26A3" w:rsidRDefault="00CD5FCB">
      <w:pPr>
        <w:jc w:val="left"/>
        <w:rPr>
          <w:b/>
          <w:bCs/>
          <w:sz w:val="24"/>
        </w:rPr>
      </w:pPr>
      <w:r>
        <w:rPr>
          <w:b/>
          <w:bCs/>
          <w:sz w:val="24"/>
        </w:rPr>
        <w:t>（二）规范融资企业发展</w:t>
      </w:r>
    </w:p>
    <w:p w:rsidR="00BE26A3" w:rsidRDefault="00CD5FCB">
      <w:pPr>
        <w:spacing w:line="300" w:lineRule="auto"/>
        <w:ind w:firstLine="480"/>
        <w:jc w:val="left"/>
        <w:rPr>
          <w:sz w:val="24"/>
        </w:rPr>
      </w:pPr>
      <w:r>
        <w:rPr>
          <w:sz w:val="24"/>
        </w:rPr>
        <w:t>2016</w:t>
      </w:r>
      <w:r>
        <w:rPr>
          <w:sz w:val="24"/>
        </w:rPr>
        <w:t>年一季度，受经济下行压力的影响，实验区经济增速有所放缓。郑州航空港区生产总值</w:t>
      </w:r>
      <w:r>
        <w:rPr>
          <w:sz w:val="24"/>
        </w:rPr>
        <w:t>107.38</w:t>
      </w:r>
      <w:r>
        <w:rPr>
          <w:sz w:val="24"/>
        </w:rPr>
        <w:t>亿元，同比增长</w:t>
      </w:r>
      <w:r>
        <w:rPr>
          <w:sz w:val="24"/>
        </w:rPr>
        <w:t>10.5%</w:t>
      </w:r>
      <w:r>
        <w:rPr>
          <w:sz w:val="24"/>
        </w:rPr>
        <w:t>。其中企业资金不足仍是制约企业发展的重要瓶颈。物流金融发展的初衷就是帮助企业解决融资困境，因此作为资金需求方，企业的自身发展对物流金融的推动至关重要。由于物流金融在我国发展时间较短，相配套的制度设施还有待完善，因此对融资企业仍有一定的资质要求。实践中为了减少资金需求方和资金供给方之间的信息不对称，明确抵押和担保责任，有效降低交易成本和风险成本，通常要求融资企业能够提供标准的审计财务报告、优</w:t>
      </w:r>
      <w:r>
        <w:rPr>
          <w:sz w:val="24"/>
        </w:rPr>
        <w:t>质可抵押资产、规范的业务单据等这些能够证明其资质的信息。金融机构为了增强抵御市场风险的能力，要求融资企业的资金实力以及生产经营规模、产业层次、产品结构、内部监督制度等能够达到一定的标准。</w:t>
      </w:r>
      <w:r>
        <w:rPr>
          <w:sz w:val="24"/>
        </w:rPr>
        <w:t>2016</w:t>
      </w:r>
      <w:r>
        <w:rPr>
          <w:sz w:val="24"/>
        </w:rPr>
        <w:t>年第一季度，郑州航空港综合试验区实际利用外资</w:t>
      </w:r>
      <w:r>
        <w:rPr>
          <w:sz w:val="24"/>
        </w:rPr>
        <w:t>1065</w:t>
      </w:r>
      <w:r>
        <w:rPr>
          <w:sz w:val="24"/>
        </w:rPr>
        <w:t>万美元，下降</w:t>
      </w:r>
      <w:r>
        <w:rPr>
          <w:sz w:val="24"/>
        </w:rPr>
        <w:t>71.9%</w:t>
      </w:r>
      <w:r>
        <w:rPr>
          <w:sz w:val="24"/>
        </w:rPr>
        <w:t>。完成外贸进出口总值</w:t>
      </w:r>
      <w:r>
        <w:rPr>
          <w:sz w:val="24"/>
        </w:rPr>
        <w:t>88.1</w:t>
      </w:r>
      <w:r>
        <w:rPr>
          <w:sz w:val="24"/>
        </w:rPr>
        <w:t>亿美元，下降</w:t>
      </w:r>
      <w:r>
        <w:rPr>
          <w:sz w:val="24"/>
        </w:rPr>
        <w:t>13.6%</w:t>
      </w:r>
      <w:r>
        <w:rPr>
          <w:sz w:val="24"/>
        </w:rPr>
        <w:t>。其中出口</w:t>
      </w:r>
      <w:r>
        <w:rPr>
          <w:sz w:val="24"/>
        </w:rPr>
        <w:t>48.6</w:t>
      </w:r>
      <w:r>
        <w:rPr>
          <w:sz w:val="24"/>
        </w:rPr>
        <w:t>亿</w:t>
      </w:r>
      <w:r>
        <w:rPr>
          <w:sz w:val="24"/>
        </w:rPr>
        <w:lastRenderedPageBreak/>
        <w:t>美元，下降</w:t>
      </w:r>
      <w:r>
        <w:rPr>
          <w:sz w:val="24"/>
        </w:rPr>
        <w:t>15.2%</w:t>
      </w:r>
      <w:r>
        <w:rPr>
          <w:sz w:val="24"/>
        </w:rPr>
        <w:t>。</w:t>
      </w:r>
      <w:bookmarkStart w:id="2" w:name="OLE_LINK15"/>
      <w:bookmarkEnd w:id="2"/>
      <w:r>
        <w:rPr>
          <w:sz w:val="24"/>
        </w:rPr>
        <w:t>港区经济的发展离不开企业的成长，融资企业必须规范自身发展，增强融资能力。</w:t>
      </w:r>
    </w:p>
    <w:p w:rsidR="00BE26A3" w:rsidRDefault="00CD5FCB">
      <w:pPr>
        <w:spacing w:line="300" w:lineRule="auto"/>
        <w:jc w:val="left"/>
        <w:rPr>
          <w:sz w:val="24"/>
        </w:rPr>
      </w:pPr>
      <w:r>
        <w:rPr>
          <w:sz w:val="24"/>
        </w:rPr>
        <w:t>这些数据从一方面直观的反映出郑州航空港区企业规范自身发展以获得物流金融的支持任</w:t>
      </w:r>
      <w:r>
        <w:rPr>
          <w:sz w:val="24"/>
        </w:rPr>
        <w:t>重而道远。</w:t>
      </w:r>
    </w:p>
    <w:p w:rsidR="00BE26A3" w:rsidRDefault="00CD5FCB">
      <w:pPr>
        <w:jc w:val="left"/>
        <w:rPr>
          <w:b/>
          <w:bCs/>
          <w:sz w:val="24"/>
        </w:rPr>
      </w:pPr>
      <w:r>
        <w:rPr>
          <w:b/>
          <w:bCs/>
          <w:sz w:val="24"/>
        </w:rPr>
        <w:t>（三）强化金融机构服务</w:t>
      </w:r>
      <w:r>
        <w:rPr>
          <w:b/>
          <w:bCs/>
          <w:sz w:val="24"/>
        </w:rPr>
        <w:t xml:space="preserve">  </w:t>
      </w:r>
    </w:p>
    <w:p w:rsidR="00BE26A3" w:rsidRDefault="00CD5FCB">
      <w:pPr>
        <w:spacing w:line="300" w:lineRule="auto"/>
        <w:ind w:firstLine="480"/>
        <w:jc w:val="left"/>
        <w:rPr>
          <w:sz w:val="24"/>
        </w:rPr>
      </w:pPr>
      <w:r>
        <w:rPr>
          <w:sz w:val="24"/>
        </w:rPr>
        <w:t>物流金融中资金的流通离不开资金供给者，对于金融机构来说开展物流金融服务的关键有两点：首先是风险管理的完善。据中国人民银行有关数据显示，截至</w:t>
      </w:r>
      <w:r>
        <w:rPr>
          <w:sz w:val="24"/>
        </w:rPr>
        <w:t>2016</w:t>
      </w:r>
      <w:r>
        <w:rPr>
          <w:sz w:val="24"/>
        </w:rPr>
        <w:t>年</w:t>
      </w:r>
      <w:r>
        <w:rPr>
          <w:sz w:val="24"/>
        </w:rPr>
        <w:t>6</w:t>
      </w:r>
      <w:r>
        <w:rPr>
          <w:sz w:val="24"/>
        </w:rPr>
        <w:t>月末，我国</w:t>
      </w:r>
      <w:r>
        <w:rPr>
          <w:sz w:val="24"/>
        </w:rPr>
        <w:t>29</w:t>
      </w:r>
      <w:r>
        <w:rPr>
          <w:sz w:val="24"/>
        </w:rPr>
        <w:t>家上市银行的整体不良贷款额达</w:t>
      </w:r>
      <w:r>
        <w:rPr>
          <w:sz w:val="24"/>
        </w:rPr>
        <w:t>1.13</w:t>
      </w:r>
      <w:r>
        <w:rPr>
          <w:sz w:val="24"/>
        </w:rPr>
        <w:t>万亿元，较</w:t>
      </w:r>
      <w:r>
        <w:rPr>
          <w:sz w:val="24"/>
        </w:rPr>
        <w:t>2015</w:t>
      </w:r>
      <w:r>
        <w:rPr>
          <w:sz w:val="24"/>
        </w:rPr>
        <w:t>年末增长</w:t>
      </w:r>
      <w:r>
        <w:rPr>
          <w:sz w:val="24"/>
        </w:rPr>
        <w:t>10.06%</w:t>
      </w:r>
      <w:r>
        <w:rPr>
          <w:sz w:val="24"/>
        </w:rPr>
        <w:t>；不良贷款率为</w:t>
      </w:r>
      <w:r>
        <w:rPr>
          <w:sz w:val="24"/>
        </w:rPr>
        <w:t>1.66%</w:t>
      </w:r>
      <w:r>
        <w:rPr>
          <w:sz w:val="24"/>
        </w:rPr>
        <w:t>，与</w:t>
      </w:r>
      <w:r>
        <w:rPr>
          <w:sz w:val="24"/>
        </w:rPr>
        <w:t>2015</w:t>
      </w:r>
      <w:r>
        <w:rPr>
          <w:sz w:val="24"/>
        </w:rPr>
        <w:t>年末相比上升</w:t>
      </w:r>
      <w:r>
        <w:rPr>
          <w:sz w:val="24"/>
        </w:rPr>
        <w:t>0.04</w:t>
      </w:r>
      <w:r>
        <w:rPr>
          <w:sz w:val="24"/>
        </w:rPr>
        <w:t>个百分点。提高贷款质量、控制贷款风险，成为金融机构开展物流金融的首要问题。金融机构可以通过建立客户资信调查核实制度、资信档案制度以及信用动态分级制度等一系列制度，加强对客户的信用</w:t>
      </w:r>
      <w:r>
        <w:rPr>
          <w:sz w:val="24"/>
        </w:rPr>
        <w:t>管理以有效降低信用风险。同时，建立市场商品信息收集和反馈体系，及时把握商品的市场价值和销售情况变化规律，以利于质押货物的评估和选择，避免信息不对称情况下对质押货物的评估失效以降低市场风险</w:t>
      </w:r>
      <w:r>
        <w:rPr>
          <w:b/>
          <w:bCs/>
          <w:sz w:val="24"/>
        </w:rPr>
        <w:t>。</w:t>
      </w:r>
      <w:r>
        <w:rPr>
          <w:sz w:val="24"/>
        </w:rPr>
        <w:t>其次是金融产品的创新。同年</w:t>
      </w:r>
      <w:r>
        <w:rPr>
          <w:sz w:val="24"/>
        </w:rPr>
        <w:t>9</w:t>
      </w:r>
      <w:r>
        <w:rPr>
          <w:sz w:val="24"/>
        </w:rPr>
        <w:t>月</w:t>
      </w:r>
      <w:r>
        <w:rPr>
          <w:sz w:val="24"/>
        </w:rPr>
        <w:t>21</w:t>
      </w:r>
      <w:r>
        <w:rPr>
          <w:sz w:val="24"/>
        </w:rPr>
        <w:t>日，普华永道发布的报告指出，中国大中型银行盈利个位数增长将成为</w:t>
      </w:r>
      <w:r>
        <w:rPr>
          <w:sz w:val="24"/>
        </w:rPr>
        <w:t>“</w:t>
      </w:r>
      <w:r>
        <w:rPr>
          <w:sz w:val="24"/>
        </w:rPr>
        <w:t>新常态</w:t>
      </w:r>
      <w:r>
        <w:rPr>
          <w:sz w:val="24"/>
        </w:rPr>
        <w:t>”</w:t>
      </w:r>
      <w:r>
        <w:rPr>
          <w:sz w:val="24"/>
        </w:rPr>
        <w:t>。随着金融改革推进的直接融资发展和利率市场化，迫使金融机构将战略重点放在金融服务模式的创新，物流金融应运而生。金融机构在加强风险管理的基础上应积极开发服务于中小企业的适应性产品，强化自身的服务能力。</w:t>
      </w:r>
      <w:r>
        <w:rPr>
          <w:sz w:val="24"/>
        </w:rPr>
        <w:t>“</w:t>
      </w:r>
      <w:r>
        <w:rPr>
          <w:sz w:val="24"/>
        </w:rPr>
        <w:t>郑州航空港区的发展</w:t>
      </w:r>
      <w:r>
        <w:rPr>
          <w:sz w:val="24"/>
        </w:rPr>
        <w:t>从融资方式看仍以间接融资为主，</w:t>
      </w:r>
      <w:r>
        <w:rPr>
          <w:sz w:val="24"/>
        </w:rPr>
        <w:t xml:space="preserve">2014 </w:t>
      </w:r>
      <w:r>
        <w:rPr>
          <w:sz w:val="24"/>
        </w:rPr>
        <w:t>年港区到位资金中</w:t>
      </w:r>
      <w:r>
        <w:rPr>
          <w:sz w:val="24"/>
        </w:rPr>
        <w:t>94</w:t>
      </w:r>
      <w:r>
        <w:rPr>
          <w:sz w:val="24"/>
        </w:rPr>
        <w:t>．</w:t>
      </w:r>
      <w:r>
        <w:rPr>
          <w:sz w:val="24"/>
        </w:rPr>
        <w:t xml:space="preserve">81% </w:t>
      </w:r>
      <w:r>
        <w:rPr>
          <w:sz w:val="24"/>
        </w:rPr>
        <w:t>均来自银行，其他融资渠道仍然发展缓慢。金融机构种类单一不仅限制了金融机构间的竞争，也造成创新不足，服务效率低下等问题。</w:t>
      </w:r>
      <w:r>
        <w:rPr>
          <w:sz w:val="24"/>
        </w:rPr>
        <w:t>”</w:t>
      </w:r>
      <w:r>
        <w:rPr>
          <w:sz w:val="24"/>
        </w:rPr>
        <w:t>（刘霞，</w:t>
      </w:r>
      <w:r>
        <w:rPr>
          <w:sz w:val="24"/>
        </w:rPr>
        <w:t>2016</w:t>
      </w:r>
      <w:r>
        <w:rPr>
          <w:sz w:val="24"/>
        </w:rPr>
        <w:t>）</w:t>
      </w:r>
      <w:r>
        <w:rPr>
          <w:noProof/>
        </w:rPr>
        <w:drawing>
          <wp:inline distT="0" distB="0" distL="114300" distR="114300">
            <wp:extent cx="180975" cy="180975"/>
            <wp:effectExtent l="0" t="0" r="0"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HPsP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wAAAAAgAAAAAAAAAAAAAAAAAAAAAAAAAAAAAAAAAAAAAAAAAAAAAAdAQAAHQEAAAAAAAAAAAAAAAAAAA=="/>
                        </a:ext>
                      </a:extLst>
                    </pic:cNvPicPr>
                  </pic:nvPicPr>
                  <pic:blipFill>
                    <a:blip r:embed="rId18" cstate="print"/>
                    <a:stretch>
                      <a:fillRect/>
                    </a:stretch>
                  </pic:blipFill>
                  <pic:spPr>
                    <a:xfrm>
                      <a:off x="0" y="0"/>
                      <a:ext cx="180975" cy="180975"/>
                    </a:xfrm>
                    <a:prstGeom prst="rect">
                      <a:avLst/>
                    </a:prstGeom>
                    <a:noFill/>
                    <a:ln w="12700">
                      <a:noFill/>
                    </a:ln>
                  </pic:spPr>
                </pic:pic>
              </a:graphicData>
            </a:graphic>
          </wp:inline>
        </w:drawing>
      </w:r>
      <w:r>
        <w:rPr>
          <w:sz w:val="24"/>
        </w:rPr>
        <w:t>因此，强化金融机构服务能力对于推动郑州航空港区物流金融的发展有着重要作用。</w:t>
      </w:r>
    </w:p>
    <w:p w:rsidR="00BE26A3" w:rsidRDefault="00BE26A3">
      <w:pPr>
        <w:spacing w:line="300" w:lineRule="auto"/>
        <w:rPr>
          <w:b/>
          <w:bCs/>
          <w:sz w:val="24"/>
        </w:rPr>
      </w:pPr>
    </w:p>
    <w:p w:rsidR="00BE26A3" w:rsidRDefault="00BE26A3">
      <w:pPr>
        <w:spacing w:line="300" w:lineRule="auto"/>
        <w:rPr>
          <w:b/>
          <w:bCs/>
          <w:sz w:val="24"/>
        </w:rPr>
      </w:pPr>
    </w:p>
    <w:p w:rsidR="00BE26A3" w:rsidRDefault="00BE26A3">
      <w:pPr>
        <w:spacing w:line="300" w:lineRule="auto"/>
        <w:rPr>
          <w:b/>
          <w:bCs/>
          <w:sz w:val="24"/>
        </w:rPr>
      </w:pPr>
    </w:p>
    <w:p w:rsidR="00BE26A3" w:rsidRDefault="00BE26A3">
      <w:pPr>
        <w:spacing w:line="300" w:lineRule="auto"/>
        <w:rPr>
          <w:b/>
          <w:bCs/>
          <w:sz w:val="24"/>
        </w:rPr>
      </w:pPr>
    </w:p>
    <w:p w:rsidR="00BE26A3" w:rsidRDefault="00CD5FCB">
      <w:pPr>
        <w:spacing w:line="300" w:lineRule="auto"/>
        <w:rPr>
          <w:b/>
          <w:bCs/>
          <w:sz w:val="24"/>
        </w:rPr>
      </w:pPr>
      <w:r>
        <w:rPr>
          <w:b/>
          <w:bCs/>
          <w:sz w:val="24"/>
        </w:rPr>
        <w:t>参考文献：</w:t>
      </w:r>
    </w:p>
    <w:p w:rsidR="00BE26A3" w:rsidRDefault="00CD5FCB">
      <w:pPr>
        <w:tabs>
          <w:tab w:val="left" w:pos="966"/>
        </w:tabs>
        <w:spacing w:line="360" w:lineRule="auto"/>
        <w:ind w:firstLine="480"/>
        <w:rPr>
          <w:sz w:val="24"/>
        </w:rPr>
      </w:pPr>
      <w:r>
        <w:rPr>
          <w:sz w:val="24"/>
        </w:rPr>
        <w:t>[1]Eric Fenmore</w:t>
      </w:r>
      <w:r>
        <w:rPr>
          <w:sz w:val="24"/>
        </w:rPr>
        <w:t>．</w:t>
      </w:r>
      <w:r>
        <w:rPr>
          <w:sz w:val="24"/>
        </w:rPr>
        <w:t>Making Purchase-Order Financing Work for You[J]</w:t>
      </w:r>
      <w:r>
        <w:rPr>
          <w:sz w:val="24"/>
        </w:rPr>
        <w:t>．</w:t>
      </w:r>
      <w:r>
        <w:rPr>
          <w:sz w:val="24"/>
        </w:rPr>
        <w:t>The Securedlender</w:t>
      </w:r>
      <w:r>
        <w:rPr>
          <w:sz w:val="24"/>
        </w:rPr>
        <w:t>，</w:t>
      </w:r>
      <w:r>
        <w:rPr>
          <w:sz w:val="24"/>
        </w:rPr>
        <w:t>2004</w:t>
      </w:r>
      <w:r>
        <w:rPr>
          <w:sz w:val="24"/>
        </w:rPr>
        <w:t>，</w:t>
      </w:r>
      <w:r>
        <w:rPr>
          <w:sz w:val="24"/>
        </w:rPr>
        <w:t>60(2)</w:t>
      </w:r>
      <w:r>
        <w:rPr>
          <w:sz w:val="24"/>
        </w:rPr>
        <w:t>：</w:t>
      </w:r>
      <w:r>
        <w:rPr>
          <w:sz w:val="24"/>
        </w:rPr>
        <w:t>20-24.</w:t>
      </w:r>
    </w:p>
    <w:p w:rsidR="00BE26A3" w:rsidRDefault="00CD5FCB">
      <w:pPr>
        <w:tabs>
          <w:tab w:val="left" w:pos="966"/>
        </w:tabs>
        <w:spacing w:line="360" w:lineRule="auto"/>
        <w:ind w:firstLine="480"/>
        <w:rPr>
          <w:sz w:val="24"/>
        </w:rPr>
      </w:pPr>
      <w:r>
        <w:rPr>
          <w:sz w:val="24"/>
        </w:rPr>
        <w:t>[2]</w:t>
      </w:r>
      <w:r>
        <w:rPr>
          <w:sz w:val="24"/>
        </w:rPr>
        <w:t>Berling,P.,K.Rosling.The Effects of Financial Risks on Inventory Policy[J].</w:t>
      </w:r>
    </w:p>
    <w:p w:rsidR="00BE26A3" w:rsidRDefault="00CD5FCB">
      <w:pPr>
        <w:tabs>
          <w:tab w:val="left" w:pos="966"/>
        </w:tabs>
        <w:spacing w:line="360" w:lineRule="auto"/>
        <w:rPr>
          <w:sz w:val="24"/>
        </w:rPr>
      </w:pPr>
      <w:r>
        <w:rPr>
          <w:sz w:val="24"/>
        </w:rPr>
        <w:t>Management Science,2005,51(12):1804-1815.</w:t>
      </w:r>
    </w:p>
    <w:p w:rsidR="00BE26A3" w:rsidRDefault="00CD5FCB">
      <w:pPr>
        <w:tabs>
          <w:tab w:val="left" w:pos="966"/>
        </w:tabs>
        <w:spacing w:line="360" w:lineRule="auto"/>
        <w:rPr>
          <w:sz w:val="24"/>
        </w:rPr>
      </w:pPr>
      <w:r>
        <w:rPr>
          <w:sz w:val="24"/>
        </w:rPr>
        <w:t xml:space="preserve">[3] </w:t>
      </w:r>
      <w:r>
        <w:rPr>
          <w:sz w:val="24"/>
        </w:rPr>
        <w:t>陈淮</w:t>
      </w:r>
      <w:r>
        <w:rPr>
          <w:sz w:val="24"/>
        </w:rPr>
        <w:t>.</w:t>
      </w:r>
      <w:r>
        <w:rPr>
          <w:sz w:val="24"/>
        </w:rPr>
        <w:t>关于物资银行的设想</w:t>
      </w:r>
      <w:r>
        <w:rPr>
          <w:sz w:val="24"/>
        </w:rPr>
        <w:t>[J].</w:t>
      </w:r>
      <w:r>
        <w:rPr>
          <w:sz w:val="24"/>
        </w:rPr>
        <w:t>中国工业经济研究，</w:t>
      </w:r>
      <w:r>
        <w:rPr>
          <w:sz w:val="24"/>
        </w:rPr>
        <w:t>1987(3):75-76.</w:t>
      </w:r>
    </w:p>
    <w:p w:rsidR="00BE26A3" w:rsidRDefault="00CD5FCB">
      <w:pPr>
        <w:tabs>
          <w:tab w:val="left" w:pos="966"/>
        </w:tabs>
        <w:spacing w:line="360" w:lineRule="auto"/>
        <w:ind w:firstLine="480"/>
        <w:rPr>
          <w:sz w:val="24"/>
        </w:rPr>
      </w:pPr>
      <w:r>
        <w:rPr>
          <w:sz w:val="24"/>
        </w:rPr>
        <w:t xml:space="preserve">[4] </w:t>
      </w:r>
      <w:r>
        <w:rPr>
          <w:sz w:val="24"/>
        </w:rPr>
        <w:t>邹小芃，唐元琦</w:t>
      </w:r>
      <w:r>
        <w:rPr>
          <w:sz w:val="24"/>
        </w:rPr>
        <w:t>.</w:t>
      </w:r>
      <w:r>
        <w:rPr>
          <w:sz w:val="24"/>
        </w:rPr>
        <w:t>物流金融浅析</w:t>
      </w:r>
      <w:r>
        <w:rPr>
          <w:sz w:val="24"/>
        </w:rPr>
        <w:t>[J].</w:t>
      </w:r>
      <w:r>
        <w:rPr>
          <w:sz w:val="24"/>
        </w:rPr>
        <w:t>浙江金融，</w:t>
      </w:r>
      <w:r>
        <w:rPr>
          <w:sz w:val="24"/>
        </w:rPr>
        <w:t>2004(5):20-44.</w:t>
      </w:r>
    </w:p>
    <w:p w:rsidR="00BE26A3" w:rsidRDefault="00CD5FCB">
      <w:pPr>
        <w:spacing w:line="360" w:lineRule="auto"/>
        <w:ind w:firstLine="480"/>
        <w:rPr>
          <w:sz w:val="24"/>
        </w:rPr>
      </w:pPr>
      <w:r>
        <w:rPr>
          <w:sz w:val="24"/>
        </w:rPr>
        <w:t>[5]</w:t>
      </w:r>
      <w:r>
        <w:rPr>
          <w:sz w:val="24"/>
        </w:rPr>
        <w:t>任文超</w:t>
      </w:r>
      <w:r>
        <w:rPr>
          <w:sz w:val="24"/>
        </w:rPr>
        <w:t>.</w:t>
      </w:r>
      <w:r>
        <w:rPr>
          <w:sz w:val="24"/>
        </w:rPr>
        <w:t>物资银行及其实践</w:t>
      </w:r>
      <w:r>
        <w:rPr>
          <w:sz w:val="24"/>
        </w:rPr>
        <w:t>[J].</w:t>
      </w:r>
      <w:r>
        <w:rPr>
          <w:sz w:val="24"/>
        </w:rPr>
        <w:t>科学决策，</w:t>
      </w:r>
      <w:r>
        <w:rPr>
          <w:sz w:val="24"/>
        </w:rPr>
        <w:t>1998(2):18-20.</w:t>
      </w:r>
    </w:p>
    <w:p w:rsidR="00BE26A3" w:rsidRDefault="00CD5FCB">
      <w:pPr>
        <w:tabs>
          <w:tab w:val="left" w:pos="966"/>
        </w:tabs>
        <w:spacing w:line="360" w:lineRule="auto"/>
        <w:ind w:firstLine="480"/>
        <w:rPr>
          <w:sz w:val="24"/>
        </w:rPr>
      </w:pPr>
      <w:r>
        <w:rPr>
          <w:sz w:val="24"/>
        </w:rPr>
        <w:lastRenderedPageBreak/>
        <w:t xml:space="preserve">[6] </w:t>
      </w:r>
      <w:r>
        <w:rPr>
          <w:sz w:val="24"/>
        </w:rPr>
        <w:t>罗齐，朱道立，陈伯铭</w:t>
      </w:r>
      <w:r>
        <w:rPr>
          <w:sz w:val="24"/>
        </w:rPr>
        <w:t xml:space="preserve">. </w:t>
      </w:r>
      <w:r>
        <w:rPr>
          <w:sz w:val="24"/>
        </w:rPr>
        <w:t>第三方物流服务创新：融通仓及其运作模式初探</w:t>
      </w:r>
      <w:r>
        <w:rPr>
          <w:sz w:val="24"/>
        </w:rPr>
        <w:t>[J].</w:t>
      </w:r>
      <w:r>
        <w:rPr>
          <w:sz w:val="24"/>
        </w:rPr>
        <w:t>中国流通经济，</w:t>
      </w:r>
      <w:r>
        <w:rPr>
          <w:sz w:val="24"/>
        </w:rPr>
        <w:t>2002(2):11-14.</w:t>
      </w:r>
    </w:p>
    <w:p w:rsidR="00BE26A3" w:rsidRDefault="00CD5FCB">
      <w:pPr>
        <w:spacing w:line="360" w:lineRule="auto"/>
        <w:ind w:firstLine="480"/>
      </w:pPr>
      <w:r>
        <w:rPr>
          <w:sz w:val="24"/>
        </w:rPr>
        <w:t xml:space="preserve">[7] </w:t>
      </w:r>
      <w:r>
        <w:rPr>
          <w:sz w:val="24"/>
        </w:rPr>
        <w:t>巫钢姚，伊娜</w:t>
      </w:r>
      <w:r>
        <w:rPr>
          <w:sz w:val="24"/>
        </w:rPr>
        <w:t xml:space="preserve">. </w:t>
      </w:r>
      <w:r>
        <w:rPr>
          <w:sz w:val="24"/>
        </w:rPr>
        <w:t>物流金融与期货交割相结合的价值创造</w:t>
      </w:r>
      <w:r>
        <w:rPr>
          <w:sz w:val="24"/>
        </w:rPr>
        <w:t>[J].</w:t>
      </w:r>
      <w:r>
        <w:rPr>
          <w:sz w:val="24"/>
        </w:rPr>
        <w:t>经济与管理，</w:t>
      </w:r>
      <w:r>
        <w:rPr>
          <w:sz w:val="24"/>
        </w:rPr>
        <w:t>2007(2):22-24.</w:t>
      </w:r>
    </w:p>
    <w:p w:rsidR="00BE26A3" w:rsidRDefault="00CD5FCB">
      <w:pPr>
        <w:spacing w:line="360" w:lineRule="auto"/>
        <w:ind w:firstLine="480"/>
      </w:pPr>
      <w:r>
        <w:rPr>
          <w:sz w:val="24"/>
        </w:rPr>
        <w:t xml:space="preserve">[8] </w:t>
      </w:r>
      <w:r>
        <w:rPr>
          <w:sz w:val="24"/>
        </w:rPr>
        <w:t>李毅学，冯耕中，徐渝</w:t>
      </w:r>
      <w:r>
        <w:rPr>
          <w:sz w:val="24"/>
        </w:rPr>
        <w:t xml:space="preserve">. </w:t>
      </w:r>
      <w:r>
        <w:rPr>
          <w:sz w:val="24"/>
        </w:rPr>
        <w:t>价格随机波动下存货质押融资业务质押率研究</w:t>
      </w:r>
      <w:r>
        <w:rPr>
          <w:sz w:val="24"/>
        </w:rPr>
        <w:t>[J].</w:t>
      </w:r>
      <w:r>
        <w:rPr>
          <w:sz w:val="24"/>
        </w:rPr>
        <w:t>系统工程理论与实践，</w:t>
      </w:r>
      <w:r>
        <w:rPr>
          <w:sz w:val="24"/>
        </w:rPr>
        <w:t>2007(12):42-48.</w:t>
      </w:r>
    </w:p>
    <w:p w:rsidR="00BE26A3" w:rsidRDefault="00CD5FCB">
      <w:pPr>
        <w:spacing w:line="360" w:lineRule="auto"/>
        <w:ind w:firstLine="480"/>
        <w:rPr>
          <w:sz w:val="24"/>
        </w:rPr>
      </w:pPr>
      <w:r>
        <w:rPr>
          <w:sz w:val="24"/>
        </w:rPr>
        <w:t xml:space="preserve">[9] </w:t>
      </w:r>
      <w:r>
        <w:rPr>
          <w:sz w:val="24"/>
        </w:rPr>
        <w:t>李毅学，汪寿阳，冯耕中</w:t>
      </w:r>
      <w:r>
        <w:rPr>
          <w:sz w:val="24"/>
        </w:rPr>
        <w:t xml:space="preserve">. </w:t>
      </w:r>
      <w:r>
        <w:rPr>
          <w:sz w:val="24"/>
        </w:rPr>
        <w:t>物流金融中季节性存货质押融资质押率决策</w:t>
      </w:r>
      <w:r>
        <w:rPr>
          <w:sz w:val="24"/>
        </w:rPr>
        <w:t>[J].</w:t>
      </w:r>
      <w:r>
        <w:rPr>
          <w:sz w:val="24"/>
        </w:rPr>
        <w:t>管理科学学报，</w:t>
      </w:r>
      <w:r>
        <w:rPr>
          <w:sz w:val="24"/>
        </w:rPr>
        <w:t>2011(11):19-32.</w:t>
      </w:r>
    </w:p>
    <w:p w:rsidR="00BE26A3" w:rsidRDefault="00CD5FCB">
      <w:pPr>
        <w:spacing w:line="360" w:lineRule="auto"/>
        <w:ind w:firstLine="480"/>
        <w:rPr>
          <w:szCs w:val="21"/>
        </w:rPr>
      </w:pPr>
      <w:r>
        <w:rPr>
          <w:sz w:val="24"/>
        </w:rPr>
        <w:t>[10]</w:t>
      </w:r>
      <w:r>
        <w:rPr>
          <w:sz w:val="24"/>
        </w:rPr>
        <w:t>刘霞</w:t>
      </w:r>
      <w:r>
        <w:rPr>
          <w:sz w:val="24"/>
        </w:rPr>
        <w:t>.</w:t>
      </w:r>
      <w:r>
        <w:rPr>
          <w:sz w:val="24"/>
        </w:rPr>
        <w:t>郑州航空港金融服务体系完善与建议</w:t>
      </w:r>
      <w:r>
        <w:rPr>
          <w:sz w:val="24"/>
        </w:rPr>
        <w:t>[J].</w:t>
      </w:r>
      <w:r>
        <w:rPr>
          <w:sz w:val="24"/>
        </w:rPr>
        <w:t>郑州大学学报，</w:t>
      </w:r>
      <w:r>
        <w:rPr>
          <w:sz w:val="24"/>
        </w:rPr>
        <w:t>2016(7):19-32.</w:t>
      </w:r>
    </w:p>
    <w:p w:rsidR="00BE26A3" w:rsidRDefault="00BE26A3">
      <w:pPr>
        <w:spacing w:line="300" w:lineRule="auto"/>
        <w:ind w:firstLine="420"/>
        <w:jc w:val="left"/>
        <w:rPr>
          <w:szCs w:val="21"/>
        </w:rPr>
      </w:pPr>
    </w:p>
    <w:p w:rsidR="00BE26A3" w:rsidRDefault="00BE26A3">
      <w:pPr>
        <w:spacing w:line="300" w:lineRule="auto"/>
        <w:ind w:firstLine="420"/>
        <w:jc w:val="left"/>
        <w:rPr>
          <w:szCs w:val="21"/>
        </w:rPr>
      </w:pPr>
    </w:p>
    <w:p w:rsidR="00BE26A3" w:rsidRDefault="00BE26A3">
      <w:pPr>
        <w:ind w:firstLine="238"/>
        <w:jc w:val="left"/>
      </w:pPr>
    </w:p>
    <w:sectPr w:rsidR="00BE26A3" w:rsidSect="00BE26A3">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FCB" w:rsidRDefault="00CD5FCB" w:rsidP="00BE26A3">
      <w:r>
        <w:separator/>
      </w:r>
    </w:p>
  </w:endnote>
  <w:endnote w:type="continuationSeparator" w:id="0">
    <w:p w:rsidR="00CD5FCB" w:rsidRDefault="00CD5FCB" w:rsidP="00BE26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黑体">
    <w:altName w:val="微软雅黑"/>
    <w:panose1 w:val="02010600030101010101"/>
    <w:charset w:val="86"/>
    <w:family w:val="modern"/>
    <w:notTrueType/>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FCB" w:rsidRDefault="00CD5FCB" w:rsidP="00BE26A3">
      <w:r>
        <w:separator/>
      </w:r>
    </w:p>
  </w:footnote>
  <w:footnote w:type="continuationSeparator" w:id="0">
    <w:p w:rsidR="00CD5FCB" w:rsidRDefault="00CD5FCB" w:rsidP="00BE26A3">
      <w:r>
        <w:continuationSeparator/>
      </w:r>
    </w:p>
  </w:footnote>
  <w:footnote w:id="1">
    <w:p w:rsidR="00BE26A3" w:rsidRDefault="00CD5FCB">
      <w:r>
        <w:t>*</w:t>
      </w:r>
      <w:r>
        <w:t>基金项目：</w:t>
      </w:r>
      <w:r>
        <w:t>2016</w:t>
      </w:r>
      <w:r>
        <w:t>年度河南省软科学项目（</w:t>
      </w:r>
      <w:r>
        <w:t>162400410146</w:t>
      </w:r>
      <w:r>
        <w:t>）：</w:t>
      </w:r>
      <w:r>
        <w:t>“</w:t>
      </w:r>
      <w:r>
        <w:t>一带一路</w:t>
      </w:r>
      <w:r>
        <w:t>”</w:t>
      </w:r>
      <w:r>
        <w:t>战略背景下郑州航空港区金融产业发展路径研究。</w:t>
      </w:r>
      <w:r>
        <w:t> 2015</w:t>
      </w:r>
      <w:r>
        <w:t>年度郑州大学研究生教育专项基金项目。郑州大学商学院基础与新兴学科临空经济管理的研究成果。</w:t>
      </w:r>
    </w:p>
    <w:p w:rsidR="00BE26A3" w:rsidRDefault="00CD5FCB">
      <w:r>
        <w:t>*</w:t>
      </w:r>
      <w:r>
        <w:rPr>
          <w:rFonts w:ascii="Symbol" w:hAnsi="Symbol"/>
        </w:rPr>
        <w:t></w:t>
      </w:r>
      <w:r>
        <w:rPr>
          <w:b/>
        </w:rPr>
        <w:t>作者简介：</w:t>
      </w:r>
      <w:r>
        <w:t>刘霞（</w:t>
      </w:r>
      <w:r>
        <w:t xml:space="preserve">1978- </w:t>
      </w:r>
      <w:r>
        <w:t>），女，河南南阳人，郑州大学商学院副教授，博士，研究方向为金融理论与政策。邮箱：</w:t>
      </w:r>
      <w:r>
        <w:t>3543043@qq.com</w:t>
      </w:r>
      <w:r>
        <w:t>，</w:t>
      </w:r>
      <w:r>
        <w:t>liuxia432@zzu.edu.cn</w:t>
      </w:r>
      <w:r>
        <w:t>。白敏（</w:t>
      </w:r>
      <w:r>
        <w:t>1989-</w:t>
      </w:r>
      <w:r>
        <w:t>），女，河南商丘人，郑州大学商学院硕士研究生。地址：河南省郑州市高新区科学大道</w:t>
      </w:r>
      <w:r>
        <w:t>100</w:t>
      </w:r>
      <w:r>
        <w:t>号，电话：</w:t>
      </w:r>
      <w:r>
        <w:t>13503459322</w:t>
      </w:r>
      <w:r>
        <w:t>，邮箱：</w:t>
      </w:r>
      <w:r>
        <w:t xml:space="preserve">1354278155@qq.com. </w:t>
      </w:r>
      <w:r>
        <w:t>邮编：</w:t>
      </w:r>
      <w:r>
        <w:t>450001</w:t>
      </w:r>
      <w:r>
        <w:t>。</w:t>
      </w:r>
    </w:p>
    <w:p w:rsidR="00BE26A3" w:rsidRDefault="00BE26A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01"/>
    <w:multiLevelType w:val="multilevel"/>
    <w:tmpl w:val="44388218"/>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3A3666B3"/>
    <w:multiLevelType w:val="singleLevel"/>
    <w:tmpl w:val="375046C8"/>
    <w:name w:val="编号列表 1"/>
    <w:lvl w:ilvl="0">
      <w:start w:val="3"/>
      <w:numFmt w:val="chineseCounting"/>
      <w:suff w:val="nothing"/>
      <w:lvlText w:val="%1、"/>
      <w:lvlJc w:val="left"/>
      <w:pPr>
        <w:ind w:left="0" w:firstLine="0"/>
      </w:pPr>
    </w:lvl>
  </w:abstractNum>
  <w:abstractNum w:abstractNumId="2">
    <w:nsid w:val="6AAE68F6"/>
    <w:multiLevelType w:val="singleLevel"/>
    <w:tmpl w:val="FBA22134"/>
    <w:name w:val="Bullet 2"/>
    <w:lvl w:ilvl="0">
      <w:start w:val="3"/>
      <w:numFmt w:val="chineseCounting"/>
      <w:lvlText w:val="%1"/>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BE26A3"/>
    <w:rsid w:val="00BE26A3"/>
    <w:rsid w:val="00CD5FCB"/>
    <w:rsid w:val="00FF1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BE2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BE26A3"/>
    <w:rPr>
      <w:sz w:val="18"/>
      <w:szCs w:val="18"/>
    </w:rPr>
  </w:style>
  <w:style w:type="paragraph" w:customStyle="1" w:styleId="Footer">
    <w:name w:val="Footer"/>
    <w:qFormat/>
    <w:rsid w:val="00BE26A3"/>
    <w:pPr>
      <w:tabs>
        <w:tab w:val="center" w:pos="4153"/>
        <w:tab w:val="right" w:pos="8306"/>
      </w:tabs>
      <w:jc w:val="left"/>
    </w:pPr>
    <w:rPr>
      <w:sz w:val="18"/>
      <w:szCs w:val="18"/>
    </w:rPr>
  </w:style>
  <w:style w:type="paragraph" w:customStyle="1" w:styleId="Header">
    <w:name w:val="Header"/>
    <w:qFormat/>
    <w:rsid w:val="00BE26A3"/>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noteText">
    <w:name w:val="Footnote Text"/>
    <w:qFormat/>
    <w:rsid w:val="00BE26A3"/>
    <w:pPr>
      <w:jc w:val="left"/>
    </w:pPr>
    <w:rPr>
      <w:sz w:val="18"/>
      <w:szCs w:val="18"/>
    </w:rPr>
  </w:style>
  <w:style w:type="paragraph" w:styleId="a4">
    <w:name w:val="Normal (Web)"/>
    <w:qFormat/>
    <w:rsid w:val="00BE26A3"/>
    <w:pPr>
      <w:widowControl/>
      <w:spacing w:after="150"/>
      <w:jc w:val="left"/>
    </w:pPr>
    <w:rPr>
      <w:rFonts w:ascii="宋体" w:eastAsia="宋体" w:hAnsi="宋体"/>
      <w:sz w:val="24"/>
    </w:rPr>
  </w:style>
  <w:style w:type="character" w:customStyle="1" w:styleId="FootnoteReference">
    <w:name w:val="Footnote Reference"/>
    <w:rsid w:val="00BE26A3"/>
    <w:rPr>
      <w:vertAlign w:val="superscript"/>
    </w:rPr>
  </w:style>
  <w:style w:type="character" w:customStyle="1" w:styleId="Char">
    <w:name w:val="批注框文本 Char"/>
    <w:rsid w:val="00BE26A3"/>
    <w:rPr>
      <w:kern w:val="1"/>
      <w:sz w:val="18"/>
      <w:szCs w:val="18"/>
    </w:rPr>
  </w:style>
  <w:style w:type="character" w:customStyle="1" w:styleId="Char0">
    <w:name w:val="页眉 Char"/>
    <w:rsid w:val="00BE26A3"/>
    <w:rPr>
      <w:kern w:val="1"/>
      <w:sz w:val="18"/>
      <w:szCs w:val="18"/>
    </w:rPr>
  </w:style>
  <w:style w:type="character" w:customStyle="1" w:styleId="Char1">
    <w:name w:val="页脚 Char"/>
    <w:rsid w:val="00BE26A3"/>
    <w:rPr>
      <w:kern w:val="1"/>
      <w:sz w:val="18"/>
      <w:szCs w:val="18"/>
    </w:rPr>
  </w:style>
  <w:style w:type="character" w:customStyle="1" w:styleId="Char2">
    <w:name w:val="脚注文本 Char"/>
    <w:rsid w:val="00BE26A3"/>
    <w:rPr>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note Text"/>
    <w:qFormat/>
    <w:basedOn w:val=""/>
    <w:pPr>
      <w:spacing/>
      <w:jc w:val="left"/>
    </w:pPr>
    <w:rPr>
      <w:sz w:val="18"/>
      <w:szCs w:val="18"/>
    </w:rPr>
  </w:style>
  <w:style w:type="paragraph" w:styleId="()">
    <w:name w:val="Normal (Web)"/>
    <w:qFormat/>
    <w:basedOn w:val=""/>
    <w:pPr>
      <w:spacing w:after="150"/>
      <w:jc w:val="left"/>
      <w:widowControl/>
    </w:pPr>
    <w:rPr>
      <w:rFonts w:ascii="宋体" w:hAnsi="宋体" w:eastAsia="宋体"/>
      <w:sz w:val="24"/>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Footnote Reference"/>
    <w:basedOn w:val=""/>
    <w:rPr>
      <w:vertAlign w:val="superscript"/>
    </w:rPr>
  </w:style>
  <w:style w:type="character" w:styleId="Char" w:customStyle="1">
    <w:name w:val="批注框文本 Char"/>
    <w:basedOn w:val=""/>
    <w:rPr>
      <w:kern w:val="1"/>
      <w:sz w:val="18"/>
      <w:szCs w:val="18"/>
    </w:rPr>
  </w:style>
  <w:style w:type="character" w:styleId="Char" w:customStyle="1">
    <w:name w:val="页眉 Char"/>
    <w:basedOn w:val=""/>
    <w:rPr>
      <w:kern w:val="1"/>
      <w:sz w:val="18"/>
      <w:szCs w:val="18"/>
    </w:rPr>
  </w:style>
  <w:style w:type="character" w:styleId="Char" w:customStyle="1">
    <w:name w:val="页脚 Char"/>
    <w:basedOn w:val=""/>
    <w:rPr>
      <w:kern w:val="1"/>
      <w:sz w:val="18"/>
      <w:szCs w:val="18"/>
    </w:rPr>
  </w:style>
  <w:style w:type="character" w:styleId="Char" w:customStyle="1">
    <w:name w:val="脚注文本 Char"/>
    <w:basedOn w:val=""/>
    <w:rPr>
      <w:kern w:val="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1.wmf"/><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1917</Words>
  <Characters>10933</Characters>
  <Application>Microsoft Office Word</Application>
  <DocSecurity>0</DocSecurity>
  <Lines>91</Lines>
  <Paragraphs>25</Paragraphs>
  <ScaleCrop>false</ScaleCrop>
  <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baim</dc:creator>
  <cp:lastModifiedBy>xbany</cp:lastModifiedBy>
  <cp:revision>2</cp:revision>
  <dcterms:created xsi:type="dcterms:W3CDTF">2017-10-20T09:09:00Z</dcterms:created>
  <dcterms:modified xsi:type="dcterms:W3CDTF">2017-10-20T09:09:00Z</dcterms:modified>
</cp:coreProperties>
</file>