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446" w:rsidRDefault="008671CD">
      <w:pPr>
        <w:spacing w:line="360" w:lineRule="auto"/>
        <w:ind w:left="-1" w:hanging="358"/>
        <w:jc w:val="center"/>
        <w:rPr>
          <w:rFonts w:eastAsia="黑体" w:cs="微软雅黑"/>
          <w:b/>
          <w:sz w:val="44"/>
          <w:szCs w:val="44"/>
        </w:rPr>
      </w:pPr>
      <w:r>
        <w:rPr>
          <w:rFonts w:eastAsia="黑体" w:cs="微软雅黑" w:hint="eastAsia"/>
          <w:b/>
          <w:sz w:val="44"/>
          <w:szCs w:val="44"/>
        </w:rPr>
        <w:t>基于</w:t>
      </w:r>
      <w:r>
        <w:rPr>
          <w:rFonts w:eastAsia="黑体" w:cs="微软雅黑" w:hint="eastAsia"/>
          <w:b/>
          <w:sz w:val="44"/>
          <w:szCs w:val="44"/>
        </w:rPr>
        <w:t>MCNP5</w:t>
      </w:r>
      <w:r>
        <w:rPr>
          <w:rFonts w:eastAsia="黑体" w:cs="微软雅黑" w:hint="eastAsia"/>
          <w:b/>
          <w:sz w:val="44"/>
          <w:szCs w:val="44"/>
        </w:rPr>
        <w:t>程序的</w:t>
      </w:r>
      <w:r>
        <w:rPr>
          <w:rFonts w:eastAsia="黑体" w:cs="微软雅黑" w:hint="eastAsia"/>
          <w:b/>
          <w:sz w:val="44"/>
          <w:szCs w:val="44"/>
        </w:rPr>
        <w:t>AP</w:t>
      </w:r>
      <w:r>
        <w:rPr>
          <w:rFonts w:eastAsia="黑体" w:cs="微软雅黑"/>
          <w:b/>
          <w:sz w:val="44"/>
          <w:szCs w:val="44"/>
        </w:rPr>
        <w:t>1000</w:t>
      </w:r>
      <w:r>
        <w:rPr>
          <w:rFonts w:eastAsia="黑体" w:cs="微软雅黑"/>
          <w:b/>
          <w:sz w:val="44"/>
          <w:szCs w:val="44"/>
        </w:rPr>
        <w:t>反应堆</w:t>
      </w:r>
      <w:r>
        <w:rPr>
          <w:rFonts w:eastAsia="黑体" w:cs="微软雅黑" w:hint="eastAsia"/>
          <w:b/>
          <w:sz w:val="44"/>
          <w:szCs w:val="44"/>
        </w:rPr>
        <w:t>新</w:t>
      </w:r>
      <w:r>
        <w:rPr>
          <w:rFonts w:eastAsia="黑体" w:cs="微软雅黑"/>
          <w:b/>
          <w:sz w:val="44"/>
          <w:szCs w:val="44"/>
        </w:rPr>
        <w:t>堆芯设计方案的模拟</w:t>
      </w:r>
    </w:p>
    <w:p w:rsidR="00205446" w:rsidRDefault="008671CD">
      <w:pPr>
        <w:spacing w:line="360" w:lineRule="auto"/>
        <w:jc w:val="center"/>
        <w:rPr>
          <w:rFonts w:ascii="仿宋" w:eastAsia="仿宋" w:hAnsi="仿宋" w:cs="微软雅黑"/>
          <w:b/>
          <w:sz w:val="28"/>
          <w:szCs w:val="28"/>
        </w:rPr>
      </w:pPr>
      <w:r>
        <w:rPr>
          <w:rFonts w:ascii="仿宋" w:eastAsia="仿宋" w:hAnsi="仿宋" w:cs="微软雅黑" w:hint="eastAsia"/>
          <w:sz w:val="28"/>
          <w:szCs w:val="28"/>
        </w:rPr>
        <w:t>张陆雨</w:t>
      </w:r>
      <w:r>
        <w:rPr>
          <w:rFonts w:eastAsia="仿宋" w:hint="eastAsia"/>
          <w:sz w:val="28"/>
          <w:szCs w:val="28"/>
        </w:rPr>
        <w:t>，王志敏，白怀勇，范潇，陈金象，张国辉</w:t>
      </w:r>
      <w:r>
        <w:rPr>
          <w:rFonts w:eastAsia="黑体" w:cs="微软雅黑"/>
          <w:b/>
          <w:sz w:val="44"/>
          <w:szCs w:val="44"/>
        </w:rPr>
        <w:footnoteReference w:id="1"/>
      </w:r>
    </w:p>
    <w:p w:rsidR="00205446" w:rsidRDefault="008671CD">
      <w:pPr>
        <w:spacing w:line="360" w:lineRule="auto"/>
        <w:jc w:val="center"/>
        <w:rPr>
          <w:sz w:val="18"/>
          <w:szCs w:val="18"/>
        </w:rPr>
      </w:pPr>
      <w:r>
        <w:rPr>
          <w:sz w:val="18"/>
          <w:szCs w:val="18"/>
        </w:rPr>
        <w:t>（北京大学核物理与核技术国家重点实验室，北京大学物理学院重离子物理研究所，北京</w:t>
      </w:r>
      <w:r>
        <w:rPr>
          <w:sz w:val="18"/>
          <w:szCs w:val="18"/>
        </w:rPr>
        <w:t>100871</w:t>
      </w:r>
      <w:r>
        <w:rPr>
          <w:sz w:val="18"/>
          <w:szCs w:val="18"/>
        </w:rPr>
        <w:t>）</w:t>
      </w:r>
    </w:p>
    <w:p w:rsidR="00205446" w:rsidRDefault="00205446">
      <w:pPr>
        <w:spacing w:line="360" w:lineRule="auto"/>
        <w:jc w:val="center"/>
        <w:rPr>
          <w:rFonts w:eastAsia="黑体" w:cs="微软雅黑"/>
          <w:b/>
          <w:szCs w:val="21"/>
        </w:rPr>
      </w:pPr>
    </w:p>
    <w:p w:rsidR="00205446" w:rsidRDefault="008671CD">
      <w:pPr>
        <w:ind w:left="420" w:right="420"/>
        <w:rPr>
          <w:rFonts w:eastAsia="黑体"/>
          <w:b/>
          <w:szCs w:val="21"/>
        </w:rPr>
      </w:pPr>
      <w:r>
        <w:rPr>
          <w:rFonts w:eastAsia="黑体" w:cs="微软雅黑" w:hint="eastAsia"/>
          <w:b/>
          <w:szCs w:val="21"/>
        </w:rPr>
        <w:t>摘要</w:t>
      </w:r>
      <w:r>
        <w:rPr>
          <w:rFonts w:eastAsia="黑体"/>
          <w:b/>
          <w:szCs w:val="21"/>
        </w:rPr>
        <w:t xml:space="preserve">: </w:t>
      </w:r>
      <w:r>
        <w:rPr>
          <w:rFonts w:eastAsia="仿宋"/>
          <w:szCs w:val="21"/>
        </w:rPr>
        <w:t>AP1000</w:t>
      </w:r>
      <w:r>
        <w:rPr>
          <w:rFonts w:eastAsia="仿宋"/>
          <w:szCs w:val="21"/>
        </w:rPr>
        <w:t>是美国西屋公司研发的大型压水反应堆</w:t>
      </w:r>
      <w:r>
        <w:rPr>
          <w:rFonts w:eastAsia="仿宋" w:hint="eastAsia"/>
          <w:szCs w:val="21"/>
        </w:rPr>
        <w:t>，</w:t>
      </w:r>
      <w:r>
        <w:rPr>
          <w:rFonts w:eastAsia="仿宋"/>
          <w:szCs w:val="21"/>
        </w:rPr>
        <w:t>采用先进的非能动安全系统</w:t>
      </w:r>
      <w:r>
        <w:rPr>
          <w:rFonts w:eastAsia="仿宋" w:hint="eastAsia"/>
          <w:szCs w:val="21"/>
        </w:rPr>
        <w:t>。</w:t>
      </w:r>
      <w:r>
        <w:rPr>
          <w:rFonts w:eastAsia="仿宋"/>
          <w:szCs w:val="21"/>
        </w:rPr>
        <w:t>AP1000</w:t>
      </w:r>
      <w:r>
        <w:rPr>
          <w:rFonts w:eastAsia="仿宋"/>
          <w:szCs w:val="21"/>
        </w:rPr>
        <w:t>反应堆有两种堆芯设计方案</w:t>
      </w:r>
      <w:r>
        <w:rPr>
          <w:rFonts w:eastAsia="仿宋" w:hint="eastAsia"/>
          <w:szCs w:val="21"/>
        </w:rPr>
        <w:t>，</w:t>
      </w:r>
      <w:r>
        <w:rPr>
          <w:rFonts w:eastAsia="仿宋"/>
          <w:szCs w:val="21"/>
        </w:rPr>
        <w:t>分别是</w:t>
      </w:r>
      <w:r>
        <w:rPr>
          <w:rFonts w:eastAsia="仿宋"/>
          <w:szCs w:val="21"/>
        </w:rPr>
        <w:t>D19</w:t>
      </w:r>
      <w:r>
        <w:rPr>
          <w:rFonts w:eastAsia="仿宋"/>
          <w:szCs w:val="21"/>
        </w:rPr>
        <w:t>和</w:t>
      </w:r>
      <w:r>
        <w:rPr>
          <w:rFonts w:eastAsia="仿宋"/>
          <w:szCs w:val="21"/>
        </w:rPr>
        <w:t>Adv</w:t>
      </w:r>
      <w:r>
        <w:rPr>
          <w:rFonts w:eastAsia="仿宋" w:hint="eastAsia"/>
          <w:szCs w:val="21"/>
        </w:rPr>
        <w:t>。本文结合两种堆芯设计的优点提出了一种新的堆芯设计方案。</w:t>
      </w:r>
      <w:r>
        <w:rPr>
          <w:rFonts w:eastAsia="仿宋"/>
          <w:szCs w:val="21"/>
        </w:rPr>
        <w:t>利用</w:t>
      </w:r>
      <w:r>
        <w:rPr>
          <w:rFonts w:eastAsia="仿宋"/>
          <w:szCs w:val="21"/>
        </w:rPr>
        <w:t>MCNP5</w:t>
      </w:r>
      <w:r>
        <w:rPr>
          <w:rFonts w:eastAsia="仿宋"/>
          <w:szCs w:val="21"/>
        </w:rPr>
        <w:t>程序对</w:t>
      </w:r>
      <w:r>
        <w:rPr>
          <w:rFonts w:eastAsia="仿宋"/>
          <w:szCs w:val="21"/>
        </w:rPr>
        <w:t>D19</w:t>
      </w:r>
      <w:r>
        <w:rPr>
          <w:rFonts w:eastAsia="仿宋"/>
          <w:szCs w:val="21"/>
        </w:rPr>
        <w:t>堆芯和新堆芯的首循环进行建模并计算了主要</w:t>
      </w:r>
      <w:r>
        <w:rPr>
          <w:rFonts w:eastAsia="仿宋"/>
          <w:szCs w:val="21"/>
        </w:rPr>
        <w:t>的核设计参数</w:t>
      </w:r>
      <w:r>
        <w:rPr>
          <w:rFonts w:eastAsia="仿宋" w:hint="eastAsia"/>
          <w:szCs w:val="21"/>
        </w:rPr>
        <w:t>。</w:t>
      </w:r>
      <w:r>
        <w:rPr>
          <w:rFonts w:eastAsia="仿宋"/>
          <w:szCs w:val="21"/>
        </w:rPr>
        <w:t>结果表明</w:t>
      </w:r>
      <w:r>
        <w:rPr>
          <w:rFonts w:eastAsia="仿宋" w:hint="eastAsia"/>
          <w:szCs w:val="21"/>
        </w:rPr>
        <w:t>，</w:t>
      </w:r>
      <w:r>
        <w:rPr>
          <w:rFonts w:eastAsia="仿宋"/>
          <w:szCs w:val="21"/>
        </w:rPr>
        <w:t>相比</w:t>
      </w:r>
      <w:r>
        <w:rPr>
          <w:rFonts w:eastAsia="仿宋"/>
          <w:szCs w:val="21"/>
        </w:rPr>
        <w:t>D19</w:t>
      </w:r>
      <w:r>
        <w:rPr>
          <w:rFonts w:eastAsia="仿宋"/>
          <w:szCs w:val="21"/>
        </w:rPr>
        <w:t>堆芯</w:t>
      </w:r>
      <w:r>
        <w:rPr>
          <w:rFonts w:eastAsia="仿宋" w:hint="eastAsia"/>
          <w:szCs w:val="21"/>
        </w:rPr>
        <w:t>，</w:t>
      </w:r>
      <w:r>
        <w:rPr>
          <w:rFonts w:eastAsia="仿宋"/>
          <w:szCs w:val="21"/>
        </w:rPr>
        <w:t>新堆芯的</w:t>
      </w:r>
      <w:r>
        <w:rPr>
          <w:rFonts w:eastAsia="仿宋"/>
          <w:szCs w:val="21"/>
        </w:rPr>
        <w:t>U</w:t>
      </w:r>
      <w:r>
        <w:rPr>
          <w:rFonts w:eastAsia="仿宋" w:hint="eastAsia"/>
          <w:szCs w:val="21"/>
        </w:rPr>
        <w:t>-</w:t>
      </w:r>
      <w:r>
        <w:rPr>
          <w:rFonts w:eastAsia="仿宋"/>
          <w:szCs w:val="21"/>
        </w:rPr>
        <w:t>235</w:t>
      </w:r>
      <w:r>
        <w:rPr>
          <w:rFonts w:eastAsia="仿宋"/>
          <w:szCs w:val="21"/>
        </w:rPr>
        <w:t>装载量减少</w:t>
      </w:r>
      <w:r>
        <w:rPr>
          <w:rFonts w:eastAsia="仿宋" w:hint="eastAsia"/>
          <w:szCs w:val="21"/>
        </w:rPr>
        <w:t xml:space="preserve">10.3%, </w:t>
      </w:r>
      <w:r>
        <w:rPr>
          <w:rFonts w:eastAsia="仿宋" w:hint="eastAsia"/>
          <w:szCs w:val="21"/>
        </w:rPr>
        <w:t>堆芯吊篮与压力容器快中子</w:t>
      </w:r>
      <w:r>
        <w:rPr>
          <w:szCs w:val="21"/>
        </w:rPr>
        <w:t>(</w:t>
      </w:r>
      <w:r>
        <w:rPr>
          <w:i/>
          <w:szCs w:val="21"/>
        </w:rPr>
        <w:t>E</w:t>
      </w:r>
      <w:r>
        <w:rPr>
          <w:rFonts w:ascii="宋体" w:hAnsi="宋体"/>
          <w:szCs w:val="21"/>
        </w:rPr>
        <w:t>≥</w:t>
      </w:r>
      <w:r>
        <w:rPr>
          <w:szCs w:val="21"/>
        </w:rPr>
        <w:t>0.1 MeV)</w:t>
      </w:r>
      <w:r>
        <w:rPr>
          <w:szCs w:val="21"/>
        </w:rPr>
        <w:t>峰值平面</w:t>
      </w:r>
      <w:r>
        <w:rPr>
          <w:rFonts w:eastAsia="仿宋" w:hint="eastAsia"/>
          <w:szCs w:val="21"/>
        </w:rPr>
        <w:t>处的平均快中子注量率分别减少</w:t>
      </w:r>
      <w:r>
        <w:rPr>
          <w:szCs w:val="21"/>
        </w:rPr>
        <w:t>29.10%</w:t>
      </w:r>
      <w:r>
        <w:rPr>
          <w:rFonts w:eastAsia="仿宋" w:hint="eastAsia"/>
          <w:szCs w:val="21"/>
        </w:rPr>
        <w:t>与</w:t>
      </w:r>
      <w:r>
        <w:rPr>
          <w:rFonts w:eastAsia="仿宋"/>
          <w:szCs w:val="21"/>
        </w:rPr>
        <w:t>29.54%</w:t>
      </w:r>
      <w:r>
        <w:rPr>
          <w:rFonts w:eastAsia="仿宋" w:hint="eastAsia"/>
          <w:szCs w:val="21"/>
        </w:rPr>
        <w:t>；相比</w:t>
      </w:r>
      <w:r>
        <w:rPr>
          <w:rFonts w:eastAsia="仿宋" w:hint="eastAsia"/>
          <w:szCs w:val="21"/>
        </w:rPr>
        <w:t>Adv</w:t>
      </w:r>
      <w:r>
        <w:rPr>
          <w:rFonts w:eastAsia="仿宋" w:hint="eastAsia"/>
          <w:szCs w:val="21"/>
        </w:rPr>
        <w:t>堆芯，新堆芯方案的燃料棒以及燃料组件布置大大简化。下一步，可在此堆芯方案基础上进行优化，来满足严格的</w:t>
      </w:r>
      <w:r>
        <w:rPr>
          <w:rFonts w:eastAsia="仿宋" w:hint="eastAsia"/>
          <w:szCs w:val="21"/>
        </w:rPr>
        <w:t>AP1000</w:t>
      </w:r>
      <w:r>
        <w:rPr>
          <w:rFonts w:eastAsia="仿宋" w:hint="eastAsia"/>
          <w:szCs w:val="21"/>
        </w:rPr>
        <w:t>堆芯设计要求。</w:t>
      </w:r>
    </w:p>
    <w:p w:rsidR="00205446" w:rsidRDefault="008671CD">
      <w:pPr>
        <w:spacing w:line="360" w:lineRule="auto"/>
        <w:ind w:left="420" w:right="420"/>
        <w:jc w:val="left"/>
        <w:rPr>
          <w:rFonts w:eastAsia="黑体" w:cs="微软雅黑"/>
          <w:b/>
          <w:szCs w:val="21"/>
        </w:rPr>
      </w:pPr>
      <w:r>
        <w:rPr>
          <w:rFonts w:eastAsia="黑体" w:cs="微软雅黑" w:hint="eastAsia"/>
          <w:b/>
          <w:szCs w:val="21"/>
        </w:rPr>
        <w:t>关键词</w:t>
      </w:r>
      <w:r>
        <w:rPr>
          <w:rFonts w:eastAsia="黑体" w:cs="微软雅黑"/>
          <w:b/>
          <w:szCs w:val="21"/>
        </w:rPr>
        <w:t xml:space="preserve">: </w:t>
      </w:r>
      <w:r>
        <w:rPr>
          <w:szCs w:val="21"/>
        </w:rPr>
        <w:t xml:space="preserve">AP1000; </w:t>
      </w:r>
      <w:r>
        <w:rPr>
          <w:szCs w:val="21"/>
        </w:rPr>
        <w:t>堆芯布置方案</w:t>
      </w:r>
      <w:r>
        <w:rPr>
          <w:szCs w:val="21"/>
        </w:rPr>
        <w:t xml:space="preserve">; MCNP5; </w:t>
      </w:r>
      <w:r>
        <w:rPr>
          <w:szCs w:val="21"/>
        </w:rPr>
        <w:t>核设计参数</w:t>
      </w:r>
      <w:r>
        <w:rPr>
          <w:szCs w:val="21"/>
        </w:rPr>
        <w:t xml:space="preserve">; </w:t>
      </w:r>
      <w:r>
        <w:rPr>
          <w:szCs w:val="21"/>
        </w:rPr>
        <w:t>热态满功率</w:t>
      </w:r>
    </w:p>
    <w:p w:rsidR="00205446" w:rsidRDefault="008671CD">
      <w:pPr>
        <w:spacing w:line="360" w:lineRule="auto"/>
        <w:ind w:left="420" w:right="420"/>
        <w:jc w:val="left"/>
        <w:rPr>
          <w:rFonts w:eastAsia="黑体"/>
          <w:b/>
          <w:bCs/>
        </w:rPr>
      </w:pPr>
      <w:r>
        <w:rPr>
          <w:rFonts w:eastAsia="黑体" w:hint="eastAsia"/>
          <w:b/>
          <w:bCs/>
        </w:rPr>
        <w:t>中图分类号</w:t>
      </w:r>
      <w:r>
        <w:rPr>
          <w:rFonts w:eastAsia="黑体"/>
          <w:b/>
          <w:bCs/>
        </w:rPr>
        <w:t xml:space="preserve">: </w:t>
      </w:r>
      <w:r>
        <w:rPr>
          <w:rFonts w:eastAsia="黑体"/>
          <w:bCs/>
          <w:szCs w:val="21"/>
        </w:rPr>
        <w:t>TL351</w:t>
      </w:r>
      <w:r>
        <w:rPr>
          <w:rFonts w:eastAsia="黑体"/>
          <w:bCs/>
          <w:szCs w:val="21"/>
          <w:vertAlign w:val="superscript"/>
        </w:rPr>
        <w:t>+</w:t>
      </w:r>
      <w:r>
        <w:rPr>
          <w:rFonts w:eastAsia="黑体"/>
          <w:bCs/>
          <w:szCs w:val="21"/>
        </w:rPr>
        <w:t>.1</w:t>
      </w:r>
      <w:r>
        <w:rPr>
          <w:rFonts w:eastAsia="黑体"/>
          <w:b/>
          <w:bCs/>
        </w:rPr>
        <w:t xml:space="preserve">     </w:t>
      </w:r>
      <w:bookmarkStart w:id="0" w:name="_GoBack"/>
      <w:bookmarkEnd w:id="0"/>
      <w:r>
        <w:rPr>
          <w:rFonts w:eastAsia="黑体"/>
          <w:b/>
          <w:bCs/>
        </w:rPr>
        <w:t xml:space="preserve">    </w:t>
      </w:r>
      <w:r>
        <w:rPr>
          <w:rFonts w:eastAsia="黑体" w:hint="eastAsia"/>
          <w:b/>
          <w:bCs/>
        </w:rPr>
        <w:t>文献标识码</w:t>
      </w:r>
      <w:r>
        <w:rPr>
          <w:rFonts w:eastAsia="黑体"/>
          <w:b/>
          <w:bCs/>
        </w:rPr>
        <w:t xml:space="preserve">:  A       doi: </w:t>
      </w:r>
    </w:p>
    <w:p w:rsidR="00205446" w:rsidRDefault="00205446">
      <w:pPr>
        <w:spacing w:line="360" w:lineRule="auto"/>
        <w:ind w:left="420" w:right="420"/>
        <w:jc w:val="center"/>
        <w:rPr>
          <w:rFonts w:eastAsia="黑体" w:cs="微软雅黑"/>
          <w:b/>
          <w:sz w:val="30"/>
          <w:szCs w:val="30"/>
        </w:rPr>
      </w:pPr>
    </w:p>
    <w:p w:rsidR="00205446" w:rsidRDefault="008671CD">
      <w:pPr>
        <w:spacing w:line="360" w:lineRule="auto"/>
        <w:jc w:val="left"/>
        <w:outlineLvl w:val="0"/>
        <w:rPr>
          <w:rFonts w:eastAsia="黑体" w:cs="微软雅黑"/>
          <w:b/>
          <w:sz w:val="28"/>
          <w:szCs w:val="28"/>
        </w:rPr>
      </w:pPr>
      <w:r>
        <w:rPr>
          <w:rFonts w:eastAsia="黑体"/>
          <w:b/>
          <w:sz w:val="28"/>
          <w:szCs w:val="28"/>
        </w:rPr>
        <w:t>1</w:t>
      </w:r>
      <w:r>
        <w:rPr>
          <w:rFonts w:eastAsia="黑体" w:cs="微软雅黑"/>
          <w:b/>
          <w:sz w:val="28"/>
          <w:szCs w:val="28"/>
        </w:rPr>
        <w:t xml:space="preserve"> </w:t>
      </w:r>
      <w:r>
        <w:rPr>
          <w:rFonts w:eastAsia="黑体" w:cs="微软雅黑" w:hint="eastAsia"/>
          <w:b/>
          <w:sz w:val="28"/>
          <w:szCs w:val="28"/>
        </w:rPr>
        <w:t>前言</w:t>
      </w:r>
    </w:p>
    <w:p w:rsidR="00205446" w:rsidRDefault="008671CD">
      <w:pPr>
        <w:spacing w:line="360" w:lineRule="auto"/>
        <w:ind w:firstLine="420"/>
        <w:rPr>
          <w:szCs w:val="24"/>
        </w:rPr>
      </w:pPr>
      <w:r>
        <w:rPr>
          <w:szCs w:val="24"/>
        </w:rPr>
        <w:t>AP1000</w:t>
      </w:r>
      <w:r>
        <w:rPr>
          <w:szCs w:val="24"/>
        </w:rPr>
        <w:t>反应堆是电功率为</w:t>
      </w:r>
      <w:r>
        <w:rPr>
          <w:szCs w:val="24"/>
        </w:rPr>
        <w:t>1000MWe</w:t>
      </w:r>
      <w:r>
        <w:rPr>
          <w:szCs w:val="24"/>
        </w:rPr>
        <w:t>的单堆布置两环路压水堆，由美国西屋公司在</w:t>
      </w:r>
      <w:r>
        <w:rPr>
          <w:szCs w:val="24"/>
        </w:rPr>
        <w:t>AP600</w:t>
      </w:r>
      <w:r>
        <w:rPr>
          <w:szCs w:val="24"/>
        </w:rPr>
        <w:t>的基础上发展而来，是第三代核电技术的典型代表</w:t>
      </w:r>
      <w:r>
        <w:rPr>
          <w:szCs w:val="24"/>
          <w:vertAlign w:val="superscript"/>
        </w:rPr>
        <w:t>[1]</w:t>
      </w:r>
      <w:r>
        <w:rPr>
          <w:szCs w:val="24"/>
        </w:rPr>
        <w:t>。</w:t>
      </w:r>
      <w:r>
        <w:rPr>
          <w:szCs w:val="24"/>
        </w:rPr>
        <w:t>AP1000</w:t>
      </w:r>
      <w:r>
        <w:rPr>
          <w:szCs w:val="24"/>
        </w:rPr>
        <w:t>安全系统采用非能动设计，通过简化设备，显著地提高了核电厂的运行稳定性、可维护性和经济性</w:t>
      </w:r>
      <w:r>
        <w:rPr>
          <w:szCs w:val="24"/>
          <w:vertAlign w:val="superscript"/>
        </w:rPr>
        <w:t>[2]</w:t>
      </w:r>
      <w:r>
        <w:rPr>
          <w:szCs w:val="24"/>
        </w:rPr>
        <w:t>。</w:t>
      </w:r>
      <w:r>
        <w:rPr>
          <w:szCs w:val="24"/>
        </w:rPr>
        <w:t>AP1000</w:t>
      </w:r>
      <w:r>
        <w:rPr>
          <w:szCs w:val="24"/>
        </w:rPr>
        <w:t>的堆芯核设计采用创新性的</w:t>
      </w:r>
      <w:r>
        <w:rPr>
          <w:szCs w:val="24"/>
        </w:rPr>
        <w:t>MSHIM (Mechanical Shim)</w:t>
      </w:r>
      <w:r>
        <w:rPr>
          <w:szCs w:val="24"/>
        </w:rPr>
        <w:t>运行模式，满功率负荷跟随运行采用不调硼的控制棒控制，大大减少了调硼人员的动作次数以及含硼废水的产生</w:t>
      </w:r>
      <w:r>
        <w:rPr>
          <w:szCs w:val="24"/>
          <w:vertAlign w:val="superscript"/>
        </w:rPr>
        <w:t>[3,4]</w:t>
      </w:r>
      <w:r>
        <w:rPr>
          <w:szCs w:val="24"/>
        </w:rPr>
        <w:t>。</w:t>
      </w:r>
    </w:p>
    <w:p w:rsidR="00205446" w:rsidRDefault="008671CD">
      <w:pPr>
        <w:spacing w:line="360" w:lineRule="auto"/>
        <w:rPr>
          <w:rFonts w:eastAsia="黑体"/>
          <w:szCs w:val="21"/>
        </w:rPr>
      </w:pPr>
      <w:r>
        <w:rPr>
          <w:rFonts w:eastAsia="黑体" w:cs="微软雅黑" w:hint="eastAsia"/>
          <w:b/>
          <w:sz w:val="30"/>
          <w:szCs w:val="30"/>
        </w:rPr>
        <w:t xml:space="preserve"> </w:t>
      </w:r>
      <w:r>
        <w:rPr>
          <w:rFonts w:eastAsia="黑体" w:cs="微软雅黑"/>
          <w:b/>
          <w:sz w:val="30"/>
          <w:szCs w:val="30"/>
        </w:rPr>
        <w:t xml:space="preserve">  </w:t>
      </w:r>
      <w:r>
        <w:rPr>
          <w:rFonts w:eastAsia="黑体" w:cs="微软雅黑"/>
          <w:szCs w:val="21"/>
        </w:rPr>
        <w:t>AP1000</w:t>
      </w:r>
      <w:r>
        <w:rPr>
          <w:rFonts w:ascii="宋体" w:hAnsi="宋体" w:cs="微软雅黑"/>
          <w:szCs w:val="21"/>
        </w:rPr>
        <w:t>首循环堆芯</w:t>
      </w:r>
      <w:r>
        <w:rPr>
          <w:rFonts w:ascii="宋体" w:hAnsi="宋体" w:cs="微软雅黑" w:hint="eastAsia"/>
          <w:szCs w:val="21"/>
        </w:rPr>
        <w:t>布置</w:t>
      </w:r>
      <w:r>
        <w:rPr>
          <w:rFonts w:ascii="宋体" w:hAnsi="宋体" w:cs="微软雅黑"/>
          <w:szCs w:val="21"/>
        </w:rPr>
        <w:t>包括两种装载方案</w:t>
      </w:r>
      <w:r>
        <w:rPr>
          <w:rFonts w:ascii="宋体" w:hAnsi="宋体" w:cs="微软雅黑" w:hint="eastAsia"/>
          <w:szCs w:val="21"/>
        </w:rPr>
        <w:t>，</w:t>
      </w:r>
      <w:r>
        <w:rPr>
          <w:rFonts w:ascii="宋体" w:hAnsi="宋体" w:cs="微软雅黑"/>
          <w:szCs w:val="21"/>
        </w:rPr>
        <w:t>分别是基本型</w:t>
      </w:r>
      <w:r>
        <w:rPr>
          <w:rFonts w:ascii="宋体" w:hAnsi="宋体" w:cs="微软雅黑" w:hint="eastAsia"/>
          <w:szCs w:val="21"/>
        </w:rPr>
        <w:t>（记作</w:t>
      </w:r>
      <w:r>
        <w:rPr>
          <w:szCs w:val="21"/>
        </w:rPr>
        <w:t>D19</w:t>
      </w:r>
      <w:r>
        <w:rPr>
          <w:rFonts w:ascii="宋体" w:hAnsi="宋体" w:cs="微软雅黑" w:hint="eastAsia"/>
          <w:szCs w:val="21"/>
        </w:rPr>
        <w:t>）和改进型（记作</w:t>
      </w:r>
      <w:r>
        <w:rPr>
          <w:szCs w:val="21"/>
        </w:rPr>
        <w:t>Adv</w:t>
      </w:r>
      <w:r>
        <w:rPr>
          <w:rFonts w:ascii="宋体" w:hAnsi="宋体" w:cs="微软雅黑" w:hint="eastAsia"/>
          <w:szCs w:val="21"/>
        </w:rPr>
        <w:t>）。为了尽可能展平堆芯径向功率分布，</w:t>
      </w:r>
      <w:r>
        <w:rPr>
          <w:szCs w:val="21"/>
        </w:rPr>
        <w:t>D19</w:t>
      </w:r>
      <w:r>
        <w:rPr>
          <w:szCs w:val="21"/>
        </w:rPr>
        <w:t>采用高泄漏布置，</w:t>
      </w:r>
      <w:r>
        <w:rPr>
          <w:szCs w:val="21"/>
        </w:rPr>
        <w:t>3</w:t>
      </w:r>
      <w:r>
        <w:rPr>
          <w:szCs w:val="21"/>
        </w:rPr>
        <w:t>种燃料富集度；</w:t>
      </w:r>
      <w:r>
        <w:rPr>
          <w:szCs w:val="21"/>
        </w:rPr>
        <w:t>Adv</w:t>
      </w:r>
      <w:r>
        <w:rPr>
          <w:szCs w:val="21"/>
        </w:rPr>
        <w:t>实现低泄漏装载，</w:t>
      </w:r>
      <w:r>
        <w:rPr>
          <w:szCs w:val="21"/>
        </w:rPr>
        <w:t>9</w:t>
      </w:r>
      <w:r>
        <w:rPr>
          <w:szCs w:val="21"/>
        </w:rPr>
        <w:t>种富集度，相较</w:t>
      </w:r>
      <w:r>
        <w:rPr>
          <w:szCs w:val="21"/>
        </w:rPr>
        <w:t>D19</w:t>
      </w:r>
      <w:r>
        <w:rPr>
          <w:szCs w:val="21"/>
        </w:rPr>
        <w:t>，提高了中子经济性并降低了压力容器处的快中子注量。两种装载方案的循环长度均为</w:t>
      </w:r>
      <w:r>
        <w:rPr>
          <w:szCs w:val="21"/>
        </w:rPr>
        <w:t>18</w:t>
      </w:r>
      <w:r>
        <w:rPr>
          <w:szCs w:val="21"/>
        </w:rPr>
        <w:t>个月，但是</w:t>
      </w:r>
      <w:r>
        <w:rPr>
          <w:szCs w:val="21"/>
        </w:rPr>
        <w:t>Adv</w:t>
      </w:r>
      <w:r>
        <w:rPr>
          <w:szCs w:val="21"/>
        </w:rPr>
        <w:t>的</w:t>
      </w:r>
      <w:r>
        <w:rPr>
          <w:szCs w:val="21"/>
        </w:rPr>
        <w:t>U-235</w:t>
      </w:r>
      <w:r>
        <w:rPr>
          <w:szCs w:val="21"/>
        </w:rPr>
        <w:t>装载量比</w:t>
      </w:r>
      <w:r>
        <w:rPr>
          <w:szCs w:val="21"/>
        </w:rPr>
        <w:t>D19</w:t>
      </w:r>
      <w:r>
        <w:rPr>
          <w:szCs w:val="21"/>
        </w:rPr>
        <w:t>少</w:t>
      </w:r>
      <w:r>
        <w:rPr>
          <w:szCs w:val="21"/>
        </w:rPr>
        <w:t>18%</w:t>
      </w:r>
      <w:r>
        <w:rPr>
          <w:szCs w:val="21"/>
          <w:vertAlign w:val="superscript"/>
        </w:rPr>
        <w:t>[5]</w:t>
      </w:r>
      <w:r>
        <w:rPr>
          <w:szCs w:val="21"/>
        </w:rPr>
        <w:t>。参考文献</w:t>
      </w:r>
      <w:r>
        <w:rPr>
          <w:szCs w:val="21"/>
        </w:rPr>
        <w:t>[6]</w:t>
      </w:r>
      <w:r>
        <w:rPr>
          <w:szCs w:val="21"/>
        </w:rPr>
        <w:t>指出，</w:t>
      </w:r>
      <w:r>
        <w:rPr>
          <w:szCs w:val="21"/>
        </w:rPr>
        <w:t>D19</w:t>
      </w:r>
      <w:r>
        <w:rPr>
          <w:szCs w:val="21"/>
        </w:rPr>
        <w:t>和</w:t>
      </w:r>
      <w:r>
        <w:rPr>
          <w:szCs w:val="21"/>
        </w:rPr>
        <w:t>Adv</w:t>
      </w:r>
      <w:r>
        <w:rPr>
          <w:szCs w:val="21"/>
        </w:rPr>
        <w:t>的堆芯核设计均不十分理想，其中，</w:t>
      </w:r>
      <w:r>
        <w:rPr>
          <w:szCs w:val="21"/>
        </w:rPr>
        <w:t>D19</w:t>
      </w:r>
      <w:r>
        <w:rPr>
          <w:szCs w:val="21"/>
        </w:rPr>
        <w:t>的中子经济性不佳，压力容器处快中子注量高，而</w:t>
      </w:r>
      <w:r>
        <w:rPr>
          <w:szCs w:val="21"/>
        </w:rPr>
        <w:t>Adv</w:t>
      </w:r>
      <w:r>
        <w:rPr>
          <w:szCs w:val="21"/>
        </w:rPr>
        <w:t>的堆芯布置特别复杂。本文利用</w:t>
      </w:r>
      <w:r>
        <w:rPr>
          <w:szCs w:val="21"/>
        </w:rPr>
        <w:t>MCNP5</w:t>
      </w:r>
      <w:r>
        <w:rPr>
          <w:szCs w:val="21"/>
        </w:rPr>
        <w:t>程</w:t>
      </w:r>
      <w:r>
        <w:rPr>
          <w:szCs w:val="21"/>
        </w:rPr>
        <w:lastRenderedPageBreak/>
        <w:t>序，主要依据</w:t>
      </w:r>
      <w:r>
        <w:rPr>
          <w:szCs w:val="21"/>
        </w:rPr>
        <w:t>D19</w:t>
      </w:r>
      <w:r>
        <w:rPr>
          <w:szCs w:val="21"/>
        </w:rPr>
        <w:t>堆芯布置提出了一种折衷的首循环堆芯装载方案</w:t>
      </w:r>
      <w:r>
        <w:rPr>
          <w:szCs w:val="21"/>
        </w:rPr>
        <w:t>。与</w:t>
      </w:r>
      <w:r>
        <w:rPr>
          <w:szCs w:val="21"/>
        </w:rPr>
        <w:t>D19</w:t>
      </w:r>
      <w:r>
        <w:rPr>
          <w:szCs w:val="21"/>
        </w:rPr>
        <w:t>相比，新堆芯方案是低泄漏布置，</w:t>
      </w:r>
      <w:r>
        <w:rPr>
          <w:szCs w:val="21"/>
        </w:rPr>
        <w:t>U-235</w:t>
      </w:r>
      <w:r>
        <w:rPr>
          <w:szCs w:val="21"/>
        </w:rPr>
        <w:t>的装载量减少</w:t>
      </w:r>
      <w:r>
        <w:rPr>
          <w:szCs w:val="21"/>
        </w:rPr>
        <w:t>10.3%</w:t>
      </w:r>
      <w:r>
        <w:rPr>
          <w:szCs w:val="21"/>
        </w:rPr>
        <w:t>，热态满功率（无氙）下堆芯吊篮与压力容器快中子</w:t>
      </w:r>
      <w:r>
        <w:rPr>
          <w:sz w:val="24"/>
          <w:szCs w:val="24"/>
        </w:rPr>
        <w:t>(</w:t>
      </w:r>
      <w:r>
        <w:rPr>
          <w:i/>
          <w:sz w:val="24"/>
          <w:szCs w:val="24"/>
        </w:rPr>
        <w:t>E</w:t>
      </w:r>
      <w:r>
        <w:rPr>
          <w:rFonts w:ascii="宋体" w:hAnsi="宋体"/>
          <w:szCs w:val="21"/>
        </w:rPr>
        <w:t>≥</w:t>
      </w:r>
      <w:r>
        <w:rPr>
          <w:sz w:val="24"/>
          <w:szCs w:val="24"/>
        </w:rPr>
        <w:t>0.1 MeV)</w:t>
      </w:r>
      <w:r>
        <w:rPr>
          <w:szCs w:val="21"/>
        </w:rPr>
        <w:t>峰值平面处的平均快中子注量率分别减少</w:t>
      </w:r>
      <w:r>
        <w:rPr>
          <w:szCs w:val="21"/>
        </w:rPr>
        <w:t>29.10%</w:t>
      </w:r>
      <w:r>
        <w:rPr>
          <w:szCs w:val="21"/>
        </w:rPr>
        <w:t>与</w:t>
      </w:r>
      <w:r>
        <w:rPr>
          <w:szCs w:val="21"/>
        </w:rPr>
        <w:t>29.54%</w:t>
      </w:r>
      <w:r>
        <w:rPr>
          <w:szCs w:val="21"/>
        </w:rPr>
        <w:t>；与</w:t>
      </w:r>
      <w:r>
        <w:rPr>
          <w:szCs w:val="21"/>
        </w:rPr>
        <w:t>Adv</w:t>
      </w:r>
      <w:r>
        <w:rPr>
          <w:szCs w:val="21"/>
        </w:rPr>
        <w:t>相比，新堆芯方案的燃料棒以及燃料组件布置大大简化，发生装错料事故的概率大大降低。</w:t>
      </w:r>
    </w:p>
    <w:p w:rsidR="00205446" w:rsidRDefault="008671CD">
      <w:pPr>
        <w:spacing w:line="360" w:lineRule="auto"/>
        <w:jc w:val="left"/>
        <w:outlineLvl w:val="0"/>
        <w:rPr>
          <w:rFonts w:eastAsia="黑体" w:cs="微软雅黑"/>
          <w:b/>
          <w:sz w:val="28"/>
          <w:szCs w:val="28"/>
        </w:rPr>
      </w:pPr>
      <w:r>
        <w:rPr>
          <w:rFonts w:eastAsia="黑体"/>
          <w:b/>
          <w:sz w:val="28"/>
          <w:szCs w:val="28"/>
        </w:rPr>
        <w:t>2</w:t>
      </w:r>
      <w:r>
        <w:rPr>
          <w:rFonts w:eastAsia="黑体" w:cs="微软雅黑"/>
          <w:b/>
          <w:sz w:val="30"/>
          <w:szCs w:val="30"/>
        </w:rPr>
        <w:t xml:space="preserve"> </w:t>
      </w:r>
      <w:r>
        <w:rPr>
          <w:rFonts w:eastAsia="黑体" w:cs="微软雅黑" w:hint="eastAsia"/>
          <w:b/>
          <w:sz w:val="28"/>
          <w:szCs w:val="28"/>
        </w:rPr>
        <w:t>AP</w:t>
      </w:r>
      <w:r>
        <w:rPr>
          <w:rFonts w:eastAsia="黑体" w:cs="微软雅黑"/>
          <w:b/>
          <w:sz w:val="28"/>
          <w:szCs w:val="28"/>
        </w:rPr>
        <w:t>1000</w:t>
      </w:r>
      <w:r>
        <w:rPr>
          <w:rFonts w:eastAsia="黑体" w:cs="微软雅黑" w:hint="eastAsia"/>
          <w:b/>
          <w:sz w:val="28"/>
          <w:szCs w:val="28"/>
        </w:rPr>
        <w:t>-</w:t>
      </w:r>
      <w:r>
        <w:rPr>
          <w:rFonts w:eastAsia="黑体" w:cs="微软雅黑"/>
          <w:b/>
          <w:sz w:val="28"/>
          <w:szCs w:val="28"/>
        </w:rPr>
        <w:t>D19</w:t>
      </w:r>
      <w:r>
        <w:rPr>
          <w:rFonts w:eastAsia="黑体" w:cs="微软雅黑"/>
          <w:b/>
          <w:sz w:val="28"/>
          <w:szCs w:val="28"/>
        </w:rPr>
        <w:t>堆芯的精细建模</w:t>
      </w:r>
    </w:p>
    <w:p w:rsidR="00205446" w:rsidRDefault="008671CD">
      <w:pPr>
        <w:spacing w:line="360" w:lineRule="auto"/>
        <w:jc w:val="left"/>
        <w:outlineLvl w:val="1"/>
        <w:rPr>
          <w:rFonts w:ascii="黑体" w:eastAsia="黑体" w:hAnsi="黑体" w:cs="微软雅黑"/>
          <w:b/>
          <w:sz w:val="24"/>
          <w:szCs w:val="21"/>
        </w:rPr>
      </w:pPr>
      <w:r>
        <w:rPr>
          <w:rFonts w:eastAsia="黑体"/>
          <w:b/>
          <w:sz w:val="24"/>
          <w:szCs w:val="21"/>
        </w:rPr>
        <w:t>2.1</w:t>
      </w:r>
      <w:r>
        <w:rPr>
          <w:rFonts w:ascii="黑体" w:eastAsia="黑体" w:hAnsi="黑体" w:cs="微软雅黑"/>
          <w:b/>
          <w:sz w:val="24"/>
          <w:szCs w:val="21"/>
        </w:rPr>
        <w:t xml:space="preserve"> </w:t>
      </w:r>
      <w:r>
        <w:rPr>
          <w:rFonts w:ascii="黑体" w:eastAsia="黑体" w:hAnsi="黑体" w:cs="微软雅黑" w:hint="eastAsia"/>
          <w:b/>
          <w:sz w:val="24"/>
          <w:szCs w:val="21"/>
        </w:rPr>
        <w:t>堆芯建模的选择</w:t>
      </w:r>
    </w:p>
    <w:p w:rsidR="00205446" w:rsidRDefault="008671CD">
      <w:pPr>
        <w:spacing w:line="360" w:lineRule="auto"/>
        <w:ind w:firstLine="420"/>
        <w:rPr>
          <w:szCs w:val="24"/>
        </w:rPr>
      </w:pPr>
      <w:r>
        <w:rPr>
          <w:szCs w:val="24"/>
        </w:rPr>
        <w:t>AP1000-Adv</w:t>
      </w:r>
      <w:r>
        <w:rPr>
          <w:szCs w:val="24"/>
        </w:rPr>
        <w:t>的首循环堆芯燃料组件布置十分复杂。燃料有</w:t>
      </w:r>
      <w:r>
        <w:rPr>
          <w:szCs w:val="24"/>
        </w:rPr>
        <w:t>9</w:t>
      </w:r>
      <w:r>
        <w:rPr>
          <w:szCs w:val="24"/>
        </w:rPr>
        <w:t>种富集度，</w:t>
      </w:r>
      <w:r>
        <w:rPr>
          <w:szCs w:val="24"/>
        </w:rPr>
        <w:t>16</w:t>
      </w:r>
      <w:r>
        <w:rPr>
          <w:szCs w:val="24"/>
        </w:rPr>
        <w:t>种芯块，通水环状可燃毒物</w:t>
      </w:r>
      <w:r>
        <w:rPr>
          <w:szCs w:val="24"/>
        </w:rPr>
        <w:t>(WABA)</w:t>
      </w:r>
      <w:r>
        <w:rPr>
          <w:szCs w:val="24"/>
        </w:rPr>
        <w:t>有</w:t>
      </w:r>
      <w:r>
        <w:rPr>
          <w:szCs w:val="24"/>
        </w:rPr>
        <w:t>3</w:t>
      </w:r>
      <w:r>
        <w:rPr>
          <w:szCs w:val="24"/>
        </w:rPr>
        <w:t>种不同的长度，堆芯中最复杂的燃料组件有</w:t>
      </w:r>
      <w:r>
        <w:rPr>
          <w:szCs w:val="24"/>
        </w:rPr>
        <w:t>6</w:t>
      </w:r>
      <w:r>
        <w:rPr>
          <w:szCs w:val="24"/>
        </w:rPr>
        <w:t>种燃料棒，每根燃料棒的轴向还分成</w:t>
      </w:r>
      <w:r>
        <w:rPr>
          <w:szCs w:val="24"/>
        </w:rPr>
        <w:t>3</w:t>
      </w:r>
      <w:r>
        <w:rPr>
          <w:szCs w:val="24"/>
        </w:rPr>
        <w:t>个区段以展平轴向功率分布，燃料制造及装载难度大，发生装错料事故的概率远高于</w:t>
      </w:r>
      <w:r>
        <w:rPr>
          <w:szCs w:val="24"/>
        </w:rPr>
        <w:t>D19</w:t>
      </w:r>
      <w:r>
        <w:rPr>
          <w:szCs w:val="24"/>
        </w:rPr>
        <w:t>。因此，参考文献</w:t>
      </w:r>
      <w:r>
        <w:rPr>
          <w:szCs w:val="24"/>
        </w:rPr>
        <w:t>[6]</w:t>
      </w:r>
      <w:r>
        <w:rPr>
          <w:szCs w:val="24"/>
        </w:rPr>
        <w:t>建议重新设计堆芯布置，摒弃</w:t>
      </w:r>
      <w:r>
        <w:rPr>
          <w:szCs w:val="24"/>
        </w:rPr>
        <w:t>Adv</w:t>
      </w:r>
      <w:r>
        <w:rPr>
          <w:szCs w:val="24"/>
        </w:rPr>
        <w:t>的复杂设计。从简化堆芯布置，降低燃料制造及装载难度两方面出发，本文对</w:t>
      </w:r>
      <w:r>
        <w:rPr>
          <w:szCs w:val="24"/>
        </w:rPr>
        <w:t>D19</w:t>
      </w:r>
      <w:r>
        <w:rPr>
          <w:szCs w:val="24"/>
        </w:rPr>
        <w:t>堆芯进行了精细建模，并基于</w:t>
      </w:r>
      <w:r>
        <w:rPr>
          <w:szCs w:val="24"/>
        </w:rPr>
        <w:t>D19</w:t>
      </w:r>
      <w:r>
        <w:rPr>
          <w:szCs w:val="24"/>
        </w:rPr>
        <w:t>设计提出了一种新的堆芯装载方案。</w:t>
      </w:r>
    </w:p>
    <w:p w:rsidR="00205446" w:rsidRDefault="008671CD">
      <w:pPr>
        <w:spacing w:line="360" w:lineRule="auto"/>
        <w:jc w:val="left"/>
        <w:outlineLvl w:val="1"/>
        <w:rPr>
          <w:rFonts w:eastAsia="黑体"/>
          <w:b/>
          <w:sz w:val="24"/>
          <w:szCs w:val="21"/>
        </w:rPr>
      </w:pPr>
      <w:r>
        <w:rPr>
          <w:rFonts w:eastAsia="黑体"/>
          <w:b/>
          <w:sz w:val="24"/>
          <w:szCs w:val="21"/>
        </w:rPr>
        <w:t>2.2</w:t>
      </w:r>
      <w:r>
        <w:rPr>
          <w:rFonts w:ascii="黑体" w:eastAsia="黑体" w:hAnsi="黑体" w:cs="微软雅黑"/>
          <w:b/>
          <w:sz w:val="24"/>
          <w:szCs w:val="21"/>
        </w:rPr>
        <w:t xml:space="preserve"> </w:t>
      </w:r>
      <w:r>
        <w:rPr>
          <w:rFonts w:eastAsia="黑体"/>
          <w:b/>
          <w:sz w:val="24"/>
          <w:szCs w:val="21"/>
        </w:rPr>
        <w:t>D19</w:t>
      </w:r>
      <w:r>
        <w:rPr>
          <w:rFonts w:eastAsia="黑体"/>
          <w:b/>
          <w:sz w:val="24"/>
          <w:szCs w:val="21"/>
        </w:rPr>
        <w:t>反应堆的几何参数</w:t>
      </w:r>
      <w:r>
        <w:rPr>
          <w:rFonts w:eastAsia="黑体" w:hint="eastAsia"/>
          <w:b/>
          <w:sz w:val="24"/>
          <w:szCs w:val="21"/>
        </w:rPr>
        <w:t>描述</w:t>
      </w:r>
    </w:p>
    <w:p w:rsidR="00205446" w:rsidRDefault="008671CD">
      <w:pPr>
        <w:spacing w:line="360" w:lineRule="auto"/>
        <w:ind w:firstLine="420"/>
        <w:jc w:val="center"/>
        <w:rPr>
          <w:rFonts w:cs="微软雅黑"/>
          <w:szCs w:val="24"/>
        </w:rPr>
      </w:pPr>
      <w:r>
        <w:rPr>
          <w:noProof/>
        </w:rPr>
        <w:drawing>
          <wp:inline distT="0" distB="0" distL="114300" distR="114300">
            <wp:extent cx="3375660" cy="3596640"/>
            <wp:effectExtent l="0" t="0" r="0" b="0"/>
            <wp:docPr id="1" name="图片模式1"/>
            <wp:cNvGraphicFramePr/>
            <a:graphic xmlns:a="http://schemas.openxmlformats.org/drawingml/2006/main">
              <a:graphicData uri="http://schemas.openxmlformats.org/drawingml/2006/picture">
                <pic:pic xmlns:pic="http://schemas.openxmlformats.org/drawingml/2006/picture">
                  <pic:nvPicPr>
                    <pic:cNvPr id="1" name="图片模式1"/>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A8AAAAAgAAAAAAAAAAAAAAAAAAAAgAAAACA//8AAAAAAgAAAACA///EFAAAIBYAAAAAAAAAAAAAAAAAAA=="/>
                        </a:ext>
                      </a:extLst>
                    </pic:cNvPicPr>
                  </pic:nvPicPr>
                  <pic:blipFill>
                    <a:blip r:embed="rId7" cstate="print"/>
                    <a:stretch>
                      <a:fillRect/>
                    </a:stretch>
                  </pic:blipFill>
                  <pic:spPr>
                    <a:xfrm>
                      <a:off x="0" y="0"/>
                      <a:ext cx="3375660" cy="3596640"/>
                    </a:xfrm>
                    <a:prstGeom prst="rect">
                      <a:avLst/>
                    </a:prstGeom>
                    <a:noFill/>
                    <a:ln w="12700">
                      <a:noFill/>
                    </a:ln>
                  </pic:spPr>
                </pic:pic>
              </a:graphicData>
            </a:graphic>
          </wp:inline>
        </w:drawing>
      </w:r>
    </w:p>
    <w:p w:rsidR="00205446" w:rsidRDefault="008671CD">
      <w:pPr>
        <w:ind w:firstLine="361"/>
        <w:jc w:val="center"/>
        <w:rPr>
          <w:sz w:val="18"/>
          <w:szCs w:val="18"/>
        </w:rPr>
      </w:pPr>
      <w:r>
        <w:rPr>
          <w:b/>
          <w:sz w:val="18"/>
          <w:szCs w:val="18"/>
        </w:rPr>
        <w:t>图</w:t>
      </w:r>
      <w:r>
        <w:rPr>
          <w:b/>
          <w:sz w:val="18"/>
          <w:szCs w:val="18"/>
        </w:rPr>
        <w:t>1</w:t>
      </w:r>
      <w:r>
        <w:rPr>
          <w:sz w:val="18"/>
          <w:szCs w:val="18"/>
        </w:rPr>
        <w:t xml:space="preserve"> D19</w:t>
      </w:r>
      <w:r>
        <w:rPr>
          <w:sz w:val="18"/>
          <w:szCs w:val="18"/>
        </w:rPr>
        <w:t>反应堆的</w:t>
      </w:r>
      <w:r>
        <w:rPr>
          <w:sz w:val="18"/>
          <w:szCs w:val="18"/>
        </w:rPr>
        <w:t>MCNP5</w:t>
      </w:r>
      <w:r>
        <w:rPr>
          <w:sz w:val="18"/>
          <w:szCs w:val="18"/>
        </w:rPr>
        <w:t>建模纵切面图（控制棒全提）</w:t>
      </w:r>
    </w:p>
    <w:p w:rsidR="00205446" w:rsidRDefault="008671CD">
      <w:pPr>
        <w:jc w:val="center"/>
        <w:rPr>
          <w:sz w:val="18"/>
          <w:szCs w:val="18"/>
        </w:rPr>
      </w:pPr>
      <w:r>
        <w:rPr>
          <w:b/>
          <w:sz w:val="18"/>
          <w:szCs w:val="18"/>
        </w:rPr>
        <w:t>Fig. 1</w:t>
      </w:r>
      <w:r>
        <w:rPr>
          <w:sz w:val="18"/>
          <w:szCs w:val="18"/>
        </w:rPr>
        <w:t xml:space="preserve"> A vertical cross sectional view of the </w:t>
      </w:r>
      <w:r>
        <w:rPr>
          <w:sz w:val="18"/>
          <w:szCs w:val="18"/>
        </w:rPr>
        <w:t>D19 reactor model by MCNP5 code (Unrodded core).</w:t>
      </w:r>
    </w:p>
    <w:p w:rsidR="00205446" w:rsidRDefault="008671CD">
      <w:pPr>
        <w:spacing w:after="120" w:line="360" w:lineRule="auto"/>
        <w:rPr>
          <w:szCs w:val="21"/>
        </w:rPr>
      </w:pPr>
      <w:r>
        <w:rPr>
          <w:szCs w:val="21"/>
        </w:rPr>
        <w:t>图</w:t>
      </w:r>
      <w:r>
        <w:rPr>
          <w:szCs w:val="21"/>
        </w:rPr>
        <w:t>1</w:t>
      </w:r>
      <w:r>
        <w:rPr>
          <w:szCs w:val="21"/>
        </w:rPr>
        <w:t>为</w:t>
      </w:r>
      <w:r>
        <w:rPr>
          <w:szCs w:val="21"/>
        </w:rPr>
        <w:t>D19</w:t>
      </w:r>
      <w:r>
        <w:rPr>
          <w:szCs w:val="21"/>
        </w:rPr>
        <w:t>的</w:t>
      </w:r>
      <w:r>
        <w:rPr>
          <w:szCs w:val="21"/>
        </w:rPr>
        <w:t>MCNP5</w:t>
      </w:r>
      <w:r>
        <w:rPr>
          <w:szCs w:val="21"/>
        </w:rPr>
        <w:t>建模纵切面图（控制棒全提）。</w:t>
      </w:r>
      <w:r>
        <w:rPr>
          <w:szCs w:val="21"/>
        </w:rPr>
        <w:t>D19</w:t>
      </w:r>
      <w:r>
        <w:rPr>
          <w:szCs w:val="21"/>
        </w:rPr>
        <w:t>的首循环堆芯是三种富集度的</w:t>
      </w:r>
      <w:r>
        <w:rPr>
          <w:szCs w:val="21"/>
        </w:rPr>
        <w:t>157</w:t>
      </w:r>
      <w:r>
        <w:rPr>
          <w:szCs w:val="21"/>
        </w:rPr>
        <w:t>盒西屋公司设计的</w:t>
      </w:r>
      <w:r>
        <w:rPr>
          <w:szCs w:val="21"/>
        </w:rPr>
        <w:t>17</w:t>
      </w:r>
      <w:r>
        <w:rPr>
          <w:rFonts w:eastAsia="E-BZ+ZFXD4m-3"/>
          <w:szCs w:val="21"/>
        </w:rPr>
        <w:t xml:space="preserve">×17 </w:t>
      </w:r>
      <w:r>
        <w:rPr>
          <w:szCs w:val="21"/>
        </w:rPr>
        <w:t>Robust</w:t>
      </w:r>
      <w:r>
        <w:rPr>
          <w:szCs w:val="21"/>
        </w:rPr>
        <w:t>燃料组件，富集度为</w:t>
      </w:r>
      <w:r>
        <w:rPr>
          <w:szCs w:val="21"/>
        </w:rPr>
        <w:t>4.45%</w:t>
      </w:r>
      <w:r>
        <w:rPr>
          <w:szCs w:val="21"/>
        </w:rPr>
        <w:t>的燃料组件布置在堆芯边缘，富集度为</w:t>
      </w:r>
      <w:r>
        <w:rPr>
          <w:szCs w:val="21"/>
        </w:rPr>
        <w:t>2.35%</w:t>
      </w:r>
      <w:r>
        <w:rPr>
          <w:szCs w:val="21"/>
        </w:rPr>
        <w:t>与</w:t>
      </w:r>
      <w:r>
        <w:rPr>
          <w:szCs w:val="21"/>
        </w:rPr>
        <w:t>3.40%</w:t>
      </w:r>
      <w:r>
        <w:rPr>
          <w:szCs w:val="21"/>
        </w:rPr>
        <w:t>的燃料组件分散交替布置在堆芯中部，如图</w:t>
      </w:r>
      <w:r>
        <w:rPr>
          <w:szCs w:val="21"/>
        </w:rPr>
        <w:t>2</w:t>
      </w:r>
      <w:r>
        <w:rPr>
          <w:szCs w:val="21"/>
        </w:rPr>
        <w:t>所示。每盒燃</w:t>
      </w:r>
      <w:r>
        <w:rPr>
          <w:szCs w:val="21"/>
        </w:rPr>
        <w:lastRenderedPageBreak/>
        <w:t>料组件由</w:t>
      </w:r>
      <w:r>
        <w:rPr>
          <w:szCs w:val="21"/>
        </w:rPr>
        <w:t>264</w:t>
      </w:r>
      <w:r>
        <w:rPr>
          <w:szCs w:val="21"/>
        </w:rPr>
        <w:t>根燃料棒、</w:t>
      </w:r>
      <w:r>
        <w:rPr>
          <w:szCs w:val="21"/>
        </w:rPr>
        <w:t>24</w:t>
      </w:r>
      <w:r>
        <w:rPr>
          <w:szCs w:val="21"/>
        </w:rPr>
        <w:t>根导向管和</w:t>
      </w:r>
      <w:r>
        <w:rPr>
          <w:szCs w:val="21"/>
        </w:rPr>
        <w:t>1</w:t>
      </w:r>
      <w:r>
        <w:rPr>
          <w:szCs w:val="21"/>
        </w:rPr>
        <w:t>根中心测量管组成；单根燃料棒的中心是低富集度烧结的</w:t>
      </w:r>
      <w:r>
        <w:rPr>
          <w:szCs w:val="21"/>
        </w:rPr>
        <w:t>UO</w:t>
      </w:r>
      <w:r>
        <w:rPr>
          <w:szCs w:val="21"/>
          <w:vertAlign w:val="subscript"/>
        </w:rPr>
        <w:t>2</w:t>
      </w:r>
      <w:r>
        <w:rPr>
          <w:szCs w:val="21"/>
        </w:rPr>
        <w:t>陶瓷芯块，外充氦气并封装在锆铌合金包壳中。此外，</w:t>
      </w:r>
      <w:r>
        <w:rPr>
          <w:szCs w:val="21"/>
        </w:rPr>
        <w:t>D1</w:t>
      </w:r>
      <w:r>
        <w:rPr>
          <w:szCs w:val="21"/>
        </w:rPr>
        <w:t>9</w:t>
      </w:r>
      <w:r>
        <w:rPr>
          <w:szCs w:val="21"/>
        </w:rPr>
        <w:t>堆芯包括</w:t>
      </w:r>
      <w:r>
        <w:rPr>
          <w:szCs w:val="21"/>
        </w:rPr>
        <w:t>69</w:t>
      </w:r>
      <w:r>
        <w:rPr>
          <w:szCs w:val="21"/>
        </w:rPr>
        <w:t>组</w:t>
      </w:r>
      <w:r>
        <w:rPr>
          <w:szCs w:val="21"/>
        </w:rPr>
        <w:t xml:space="preserve">RCCA (Rod Cluster Control Assemblies) </w:t>
      </w:r>
      <w:r>
        <w:rPr>
          <w:szCs w:val="21"/>
        </w:rPr>
        <w:t>控制棒组件。</w:t>
      </w:r>
      <w:r>
        <w:rPr>
          <w:szCs w:val="21"/>
        </w:rPr>
        <w:t>53</w:t>
      </w:r>
      <w:r>
        <w:rPr>
          <w:szCs w:val="21"/>
        </w:rPr>
        <w:t>组为黑棒组件，每个组件由</w:t>
      </w:r>
      <w:r>
        <w:rPr>
          <w:szCs w:val="21"/>
        </w:rPr>
        <w:t>24</w:t>
      </w:r>
      <w:r>
        <w:rPr>
          <w:szCs w:val="21"/>
        </w:rPr>
        <w:t>根热中子吸收截面大的</w:t>
      </w:r>
      <w:r>
        <w:rPr>
          <w:szCs w:val="21"/>
        </w:rPr>
        <w:t>Ag (80%)-In (15%)-Cd (5%)</w:t>
      </w:r>
      <w:r>
        <w:rPr>
          <w:szCs w:val="21"/>
        </w:rPr>
        <w:t>合金构成；</w:t>
      </w:r>
      <w:r>
        <w:rPr>
          <w:szCs w:val="21"/>
        </w:rPr>
        <w:t>16</w:t>
      </w:r>
      <w:r>
        <w:rPr>
          <w:szCs w:val="21"/>
        </w:rPr>
        <w:t>组为灰棒组件，每个组件中，</w:t>
      </w:r>
      <w:r>
        <w:rPr>
          <w:szCs w:val="21"/>
        </w:rPr>
        <w:t>12</w:t>
      </w:r>
      <w:r>
        <w:rPr>
          <w:szCs w:val="21"/>
        </w:rPr>
        <w:t>根由</w:t>
      </w:r>
      <w:r>
        <w:rPr>
          <w:szCs w:val="21"/>
        </w:rPr>
        <w:t>Ag (80%)-In (15%)-Cd (5%)</w:t>
      </w:r>
      <w:r>
        <w:rPr>
          <w:szCs w:val="21"/>
        </w:rPr>
        <w:t>合金构成，其余</w:t>
      </w:r>
      <w:r>
        <w:rPr>
          <w:szCs w:val="21"/>
        </w:rPr>
        <w:t>12</w:t>
      </w:r>
      <w:r>
        <w:rPr>
          <w:szCs w:val="21"/>
        </w:rPr>
        <w:t>根由含天然硼</w:t>
      </w:r>
      <w:r>
        <w:rPr>
          <w:szCs w:val="21"/>
        </w:rPr>
        <w:t>1.13%</w:t>
      </w:r>
      <w:r>
        <w:rPr>
          <w:szCs w:val="21"/>
        </w:rPr>
        <w:t>的不锈钢材料组成</w:t>
      </w:r>
      <w:r>
        <w:rPr>
          <w:szCs w:val="21"/>
          <w:vertAlign w:val="superscript"/>
        </w:rPr>
        <w:t>[7]</w:t>
      </w:r>
      <w:r>
        <w:rPr>
          <w:szCs w:val="21"/>
        </w:rPr>
        <w:t>。表</w:t>
      </w:r>
      <w:r>
        <w:rPr>
          <w:szCs w:val="21"/>
        </w:rPr>
        <w:t>1</w:t>
      </w:r>
      <w:r>
        <w:rPr>
          <w:szCs w:val="21"/>
        </w:rPr>
        <w:t>为</w:t>
      </w:r>
      <w:r>
        <w:rPr>
          <w:szCs w:val="21"/>
        </w:rPr>
        <w:t>D19</w:t>
      </w:r>
      <w:r>
        <w:rPr>
          <w:szCs w:val="21"/>
        </w:rPr>
        <w:t>的主要物理参数</w:t>
      </w:r>
      <w:r>
        <w:rPr>
          <w:szCs w:val="21"/>
          <w:vertAlign w:val="superscript"/>
        </w:rPr>
        <w:t>[8]</w:t>
      </w:r>
      <w:r>
        <w:rPr>
          <w:szCs w:val="21"/>
        </w:rPr>
        <w:t>。</w:t>
      </w:r>
    </w:p>
    <w:p w:rsidR="00205446" w:rsidRDefault="008671CD">
      <w:pPr>
        <w:spacing w:line="360" w:lineRule="auto"/>
        <w:jc w:val="center"/>
        <w:rPr>
          <w:sz w:val="18"/>
          <w:szCs w:val="18"/>
        </w:rPr>
      </w:pPr>
      <w:r>
        <w:rPr>
          <w:noProof/>
        </w:rPr>
        <w:drawing>
          <wp:inline distT="0" distB="0" distL="114300" distR="114300">
            <wp:extent cx="3550920" cy="2697480"/>
            <wp:effectExtent l="0" t="0" r="0" b="0"/>
            <wp:docPr id="2" name="图片模式2"/>
            <wp:cNvGraphicFramePr/>
            <a:graphic xmlns:a="http://schemas.openxmlformats.org/drawingml/2006/main">
              <a:graphicData uri="http://schemas.openxmlformats.org/drawingml/2006/picture">
                <pic:pic xmlns:pic="http://schemas.openxmlformats.org/drawingml/2006/picture">
                  <pic:nvPicPr>
                    <pic:cNvPr id="2" name="图片模式2"/>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BMAAAAAgAAAAAAAAAAAAAAAAAAAAgAAAACA//8AAAAAAgAAAACA///YFQAAmBAAAAAAAAAAAAAAAAAAAA=="/>
                        </a:ext>
                      </a:extLst>
                    </pic:cNvPicPr>
                  </pic:nvPicPr>
                  <pic:blipFill>
                    <a:blip r:embed="rId8" cstate="print"/>
                    <a:stretch>
                      <a:fillRect/>
                    </a:stretch>
                  </pic:blipFill>
                  <pic:spPr>
                    <a:xfrm>
                      <a:off x="0" y="0"/>
                      <a:ext cx="3550920" cy="2697480"/>
                    </a:xfrm>
                    <a:prstGeom prst="rect">
                      <a:avLst/>
                    </a:prstGeom>
                    <a:noFill/>
                    <a:ln w="12700">
                      <a:noFill/>
                    </a:ln>
                  </pic:spPr>
                </pic:pic>
              </a:graphicData>
            </a:graphic>
          </wp:inline>
        </w:drawing>
      </w:r>
    </w:p>
    <w:p w:rsidR="00205446" w:rsidRDefault="008671CD">
      <w:pPr>
        <w:ind w:firstLine="361"/>
        <w:jc w:val="center"/>
        <w:rPr>
          <w:sz w:val="18"/>
          <w:szCs w:val="18"/>
        </w:rPr>
      </w:pPr>
      <w:r>
        <w:rPr>
          <w:b/>
          <w:sz w:val="18"/>
          <w:szCs w:val="18"/>
        </w:rPr>
        <w:t>图</w:t>
      </w:r>
      <w:r>
        <w:rPr>
          <w:b/>
          <w:sz w:val="18"/>
          <w:szCs w:val="18"/>
        </w:rPr>
        <w:t>2</w:t>
      </w:r>
      <w:r>
        <w:rPr>
          <w:sz w:val="18"/>
          <w:szCs w:val="18"/>
        </w:rPr>
        <w:t xml:space="preserve"> D19</w:t>
      </w:r>
      <w:r>
        <w:rPr>
          <w:sz w:val="18"/>
          <w:szCs w:val="18"/>
        </w:rPr>
        <w:t>堆芯的燃料组件布置（四分之一堆芯）</w:t>
      </w:r>
    </w:p>
    <w:p w:rsidR="00205446" w:rsidRDefault="008671CD">
      <w:pPr>
        <w:spacing w:after="120"/>
        <w:jc w:val="center"/>
        <w:rPr>
          <w:sz w:val="18"/>
          <w:szCs w:val="18"/>
        </w:rPr>
      </w:pPr>
      <w:r>
        <w:rPr>
          <w:b/>
          <w:sz w:val="18"/>
          <w:szCs w:val="18"/>
        </w:rPr>
        <w:t>Fig. 2</w:t>
      </w:r>
      <w:r>
        <w:rPr>
          <w:sz w:val="18"/>
          <w:szCs w:val="18"/>
        </w:rPr>
        <w:t xml:space="preserve"> Fuel assembly arrange</w:t>
      </w:r>
      <w:r>
        <w:rPr>
          <w:sz w:val="18"/>
          <w:szCs w:val="18"/>
        </w:rPr>
        <w:t>ment of the D19 core in quarter-core cyclic symmetry.</w:t>
      </w:r>
    </w:p>
    <w:p w:rsidR="00205446" w:rsidRDefault="008671CD">
      <w:pPr>
        <w:jc w:val="center"/>
        <w:rPr>
          <w:sz w:val="18"/>
          <w:szCs w:val="18"/>
        </w:rPr>
      </w:pPr>
      <w:r>
        <w:rPr>
          <w:b/>
          <w:sz w:val="18"/>
          <w:szCs w:val="18"/>
        </w:rPr>
        <w:t>表</w:t>
      </w:r>
      <w:r>
        <w:rPr>
          <w:b/>
          <w:sz w:val="18"/>
          <w:szCs w:val="18"/>
        </w:rPr>
        <w:t>1</w:t>
      </w:r>
      <w:r>
        <w:rPr>
          <w:sz w:val="18"/>
          <w:szCs w:val="18"/>
        </w:rPr>
        <w:t xml:space="preserve"> D19</w:t>
      </w:r>
      <w:r>
        <w:rPr>
          <w:sz w:val="18"/>
          <w:szCs w:val="18"/>
        </w:rPr>
        <w:t>的主要物理参数</w:t>
      </w:r>
    </w:p>
    <w:p w:rsidR="00205446" w:rsidRDefault="008671CD">
      <w:pPr>
        <w:jc w:val="center"/>
        <w:rPr>
          <w:sz w:val="18"/>
          <w:szCs w:val="18"/>
        </w:rPr>
      </w:pPr>
      <w:r>
        <w:rPr>
          <w:b/>
          <w:sz w:val="18"/>
          <w:szCs w:val="18"/>
        </w:rPr>
        <w:t xml:space="preserve">Table 1 </w:t>
      </w:r>
      <w:r>
        <w:rPr>
          <w:sz w:val="18"/>
          <w:szCs w:val="18"/>
        </w:rPr>
        <w:t>The main physical parameters of the D19 reactor</w:t>
      </w:r>
    </w:p>
    <w:tbl>
      <w:tblPr>
        <w:tblW w:w="8392" w:type="dxa"/>
        <w:jc w:val="center"/>
        <w:tblCellMar>
          <w:left w:w="10" w:type="dxa"/>
          <w:right w:w="10" w:type="dxa"/>
        </w:tblCellMar>
        <w:tblLook w:val="0000"/>
      </w:tblPr>
      <w:tblGrid>
        <w:gridCol w:w="2660"/>
        <w:gridCol w:w="1536"/>
        <w:gridCol w:w="2935"/>
        <w:gridCol w:w="1261"/>
      </w:tblGrid>
      <w:tr w:rsidR="00205446">
        <w:tblPrEx>
          <w:tblCellMar>
            <w:top w:w="0" w:type="dxa"/>
            <w:bottom w:w="0" w:type="dxa"/>
          </w:tblCellMar>
        </w:tblPrEx>
        <w:trPr>
          <w:trHeight w:val="454"/>
          <w:jc w:val="center"/>
        </w:trPr>
        <w:tc>
          <w:tcPr>
            <w:tcW w:w="2660" w:type="dxa"/>
            <w:tcBorders>
              <w:top w:val="single" w:sz="12" w:space="0" w:color="000000"/>
              <w:left w:val="none" w:sz="0" w:space="0" w:color="000000"/>
              <w:bottom w:val="single" w:sz="8"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物理参数（单位）</w:t>
            </w:r>
          </w:p>
        </w:tc>
        <w:tc>
          <w:tcPr>
            <w:tcW w:w="1536" w:type="dxa"/>
            <w:tcBorders>
              <w:top w:val="single" w:sz="12" w:space="0" w:color="000000"/>
              <w:left w:val="none" w:sz="0" w:space="0" w:color="000000"/>
              <w:bottom w:val="single" w:sz="8"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尺寸</w:t>
            </w:r>
          </w:p>
        </w:tc>
        <w:tc>
          <w:tcPr>
            <w:tcW w:w="2935" w:type="dxa"/>
            <w:tcBorders>
              <w:top w:val="single" w:sz="12" w:space="0" w:color="000000"/>
              <w:left w:val="none" w:sz="0" w:space="0" w:color="000000"/>
              <w:bottom w:val="single" w:sz="8"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物理参数（单位）</w:t>
            </w:r>
          </w:p>
        </w:tc>
        <w:tc>
          <w:tcPr>
            <w:tcW w:w="1261" w:type="dxa"/>
            <w:tcBorders>
              <w:top w:val="single" w:sz="12" w:space="0" w:color="000000"/>
              <w:left w:val="none" w:sz="0" w:space="0" w:color="000000"/>
              <w:bottom w:val="single" w:sz="8"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尺寸</w:t>
            </w:r>
          </w:p>
        </w:tc>
      </w:tr>
      <w:tr w:rsidR="00205446">
        <w:tblPrEx>
          <w:tblCellMar>
            <w:top w:w="0" w:type="dxa"/>
            <w:bottom w:w="0" w:type="dxa"/>
          </w:tblCellMar>
        </w:tblPrEx>
        <w:trPr>
          <w:trHeight w:hRule="exact" w:val="454"/>
          <w:jc w:val="center"/>
        </w:trPr>
        <w:tc>
          <w:tcPr>
            <w:tcW w:w="2660"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压力容器高度（</w:t>
            </w:r>
            <w:r>
              <w:rPr>
                <w:sz w:val="18"/>
                <w:szCs w:val="18"/>
              </w:rPr>
              <w:t>m</w:t>
            </w:r>
            <w:r>
              <w:rPr>
                <w:sz w:val="18"/>
                <w:szCs w:val="18"/>
              </w:rPr>
              <w:t>）</w:t>
            </w:r>
          </w:p>
        </w:tc>
        <w:tc>
          <w:tcPr>
            <w:tcW w:w="1536"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12.2</w:t>
            </w:r>
          </w:p>
        </w:tc>
        <w:tc>
          <w:tcPr>
            <w:tcW w:w="2935"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燃料棒芯块直径（</w:t>
            </w:r>
            <w:r>
              <w:rPr>
                <w:sz w:val="18"/>
                <w:szCs w:val="18"/>
              </w:rPr>
              <w:t>mm</w:t>
            </w:r>
            <w:r>
              <w:rPr>
                <w:sz w:val="18"/>
                <w:szCs w:val="18"/>
              </w:rPr>
              <w:t>）</w:t>
            </w:r>
          </w:p>
        </w:tc>
        <w:tc>
          <w:tcPr>
            <w:tcW w:w="1261" w:type="dxa"/>
            <w:tcBorders>
              <w:top w:val="single" w:sz="8"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8.19</w:t>
            </w:r>
          </w:p>
        </w:tc>
      </w:tr>
      <w:tr w:rsidR="00205446">
        <w:tblPrEx>
          <w:tblCellMar>
            <w:top w:w="0" w:type="dxa"/>
            <w:bottom w:w="0" w:type="dxa"/>
          </w:tblCellMar>
        </w:tblPrEx>
        <w:trPr>
          <w:trHeight w:hRule="exact" w:val="454"/>
          <w:jc w:val="center"/>
        </w:trPr>
        <w:tc>
          <w:tcPr>
            <w:tcW w:w="26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压力容器内直径（</w:t>
            </w:r>
            <w:r>
              <w:rPr>
                <w:sz w:val="18"/>
                <w:szCs w:val="18"/>
              </w:rPr>
              <w:t>m</w:t>
            </w:r>
            <w:r>
              <w:rPr>
                <w:sz w:val="18"/>
                <w:szCs w:val="18"/>
              </w:rPr>
              <w:t>）</w:t>
            </w:r>
          </w:p>
        </w:tc>
        <w:tc>
          <w:tcPr>
            <w:tcW w:w="153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4.039</w:t>
            </w:r>
          </w:p>
        </w:tc>
        <w:tc>
          <w:tcPr>
            <w:tcW w:w="293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芯块与燃料包壳间氦气厚度（</w:t>
            </w:r>
            <w:r>
              <w:rPr>
                <w:sz w:val="18"/>
                <w:szCs w:val="18"/>
              </w:rPr>
              <w:t>mm</w:t>
            </w:r>
            <w:r>
              <w:rPr>
                <w:sz w:val="18"/>
                <w:szCs w:val="18"/>
              </w:rPr>
              <w:t>）</w:t>
            </w:r>
          </w:p>
        </w:tc>
        <w:tc>
          <w:tcPr>
            <w:tcW w:w="1261"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0.085</w:t>
            </w:r>
          </w:p>
        </w:tc>
      </w:tr>
      <w:tr w:rsidR="00205446">
        <w:tblPrEx>
          <w:tblCellMar>
            <w:top w:w="0" w:type="dxa"/>
            <w:bottom w:w="0" w:type="dxa"/>
          </w:tblCellMar>
        </w:tblPrEx>
        <w:trPr>
          <w:trHeight w:hRule="exact" w:val="454"/>
          <w:jc w:val="center"/>
        </w:trPr>
        <w:tc>
          <w:tcPr>
            <w:tcW w:w="26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压力容器厚度（</w:t>
            </w:r>
            <w:r>
              <w:rPr>
                <w:sz w:val="18"/>
                <w:szCs w:val="18"/>
              </w:rPr>
              <w:t>cm</w:t>
            </w:r>
            <w:r>
              <w:rPr>
                <w:sz w:val="18"/>
                <w:szCs w:val="18"/>
              </w:rPr>
              <w:t>）</w:t>
            </w:r>
          </w:p>
        </w:tc>
        <w:tc>
          <w:tcPr>
            <w:tcW w:w="153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20</w:t>
            </w:r>
          </w:p>
        </w:tc>
        <w:tc>
          <w:tcPr>
            <w:tcW w:w="293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燃料包壳厚度（</w:t>
            </w:r>
            <w:r>
              <w:rPr>
                <w:sz w:val="18"/>
                <w:szCs w:val="18"/>
              </w:rPr>
              <w:t>mm</w:t>
            </w:r>
            <w:r>
              <w:rPr>
                <w:sz w:val="18"/>
                <w:szCs w:val="18"/>
              </w:rPr>
              <w:t>）</w:t>
            </w:r>
          </w:p>
        </w:tc>
        <w:tc>
          <w:tcPr>
            <w:tcW w:w="1261"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0.57</w:t>
            </w:r>
          </w:p>
        </w:tc>
      </w:tr>
      <w:tr w:rsidR="00205446">
        <w:tblPrEx>
          <w:tblCellMar>
            <w:top w:w="0" w:type="dxa"/>
            <w:bottom w:w="0" w:type="dxa"/>
          </w:tblCellMar>
        </w:tblPrEx>
        <w:trPr>
          <w:trHeight w:hRule="exact" w:val="454"/>
          <w:jc w:val="center"/>
        </w:trPr>
        <w:tc>
          <w:tcPr>
            <w:tcW w:w="26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堆芯燃料组件中心间距（</w:t>
            </w:r>
            <w:r>
              <w:rPr>
                <w:sz w:val="18"/>
                <w:szCs w:val="18"/>
              </w:rPr>
              <w:t>mm</w:t>
            </w:r>
            <w:r>
              <w:rPr>
                <w:sz w:val="18"/>
                <w:szCs w:val="18"/>
              </w:rPr>
              <w:t>）</w:t>
            </w:r>
          </w:p>
        </w:tc>
        <w:tc>
          <w:tcPr>
            <w:tcW w:w="153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214.2</w:t>
            </w:r>
          </w:p>
        </w:tc>
        <w:tc>
          <w:tcPr>
            <w:tcW w:w="293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燃料棒外径（</w:t>
            </w:r>
            <w:r>
              <w:rPr>
                <w:sz w:val="18"/>
                <w:szCs w:val="18"/>
              </w:rPr>
              <w:t>mm</w:t>
            </w:r>
            <w:r>
              <w:rPr>
                <w:sz w:val="18"/>
                <w:szCs w:val="18"/>
              </w:rPr>
              <w:t>）</w:t>
            </w:r>
          </w:p>
        </w:tc>
        <w:tc>
          <w:tcPr>
            <w:tcW w:w="1261"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9.50</w:t>
            </w:r>
          </w:p>
        </w:tc>
      </w:tr>
      <w:tr w:rsidR="00205446">
        <w:tblPrEx>
          <w:tblCellMar>
            <w:top w:w="0" w:type="dxa"/>
            <w:bottom w:w="0" w:type="dxa"/>
          </w:tblCellMar>
        </w:tblPrEx>
        <w:trPr>
          <w:trHeight w:hRule="exact" w:val="454"/>
          <w:jc w:val="center"/>
        </w:trPr>
        <w:tc>
          <w:tcPr>
            <w:tcW w:w="26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燃料棒有效高度（</w:t>
            </w:r>
            <w:r>
              <w:rPr>
                <w:sz w:val="18"/>
                <w:szCs w:val="18"/>
              </w:rPr>
              <w:t>mm</w:t>
            </w:r>
            <w:r>
              <w:rPr>
                <w:sz w:val="18"/>
                <w:szCs w:val="18"/>
              </w:rPr>
              <w:t>）</w:t>
            </w:r>
          </w:p>
        </w:tc>
        <w:tc>
          <w:tcPr>
            <w:tcW w:w="153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4267.2</w:t>
            </w:r>
          </w:p>
        </w:tc>
        <w:tc>
          <w:tcPr>
            <w:tcW w:w="293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导向管内径（</w:t>
            </w:r>
            <w:r>
              <w:rPr>
                <w:sz w:val="18"/>
                <w:szCs w:val="18"/>
              </w:rPr>
              <w:t>mm</w:t>
            </w:r>
            <w:r>
              <w:rPr>
                <w:sz w:val="18"/>
                <w:szCs w:val="18"/>
              </w:rPr>
              <w:t>）</w:t>
            </w:r>
          </w:p>
        </w:tc>
        <w:tc>
          <w:tcPr>
            <w:tcW w:w="1261"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11.2</w:t>
            </w:r>
          </w:p>
        </w:tc>
      </w:tr>
      <w:tr w:rsidR="00205446">
        <w:tblPrEx>
          <w:tblCellMar>
            <w:top w:w="0" w:type="dxa"/>
            <w:bottom w:w="0" w:type="dxa"/>
          </w:tblCellMar>
        </w:tblPrEx>
        <w:trPr>
          <w:trHeight w:hRule="exact" w:val="454"/>
          <w:jc w:val="center"/>
        </w:trPr>
        <w:tc>
          <w:tcPr>
            <w:tcW w:w="2660"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燃料棒中心间距（</w:t>
            </w:r>
            <w:r>
              <w:rPr>
                <w:sz w:val="18"/>
                <w:szCs w:val="18"/>
              </w:rPr>
              <w:t>mm</w:t>
            </w:r>
            <w:r>
              <w:rPr>
                <w:sz w:val="18"/>
                <w:szCs w:val="18"/>
              </w:rPr>
              <w:t>）</w:t>
            </w:r>
          </w:p>
        </w:tc>
        <w:tc>
          <w:tcPr>
            <w:tcW w:w="1536"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12.6</w:t>
            </w:r>
          </w:p>
        </w:tc>
        <w:tc>
          <w:tcPr>
            <w:tcW w:w="2935"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导向管厚度（</w:t>
            </w:r>
            <w:r>
              <w:rPr>
                <w:sz w:val="18"/>
                <w:szCs w:val="18"/>
              </w:rPr>
              <w:t>mm</w:t>
            </w:r>
            <w:r>
              <w:rPr>
                <w:sz w:val="18"/>
                <w:szCs w:val="18"/>
              </w:rPr>
              <w:t>）</w:t>
            </w:r>
          </w:p>
        </w:tc>
        <w:tc>
          <w:tcPr>
            <w:tcW w:w="1261"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line="360" w:lineRule="auto"/>
              <w:jc w:val="center"/>
              <w:rPr>
                <w:sz w:val="18"/>
                <w:szCs w:val="18"/>
              </w:rPr>
            </w:pPr>
            <w:r>
              <w:rPr>
                <w:sz w:val="18"/>
                <w:szCs w:val="18"/>
              </w:rPr>
              <w:t>0.5</w:t>
            </w:r>
          </w:p>
        </w:tc>
      </w:tr>
    </w:tbl>
    <w:p w:rsidR="00205446" w:rsidRDefault="008671CD">
      <w:pPr>
        <w:spacing w:before="120" w:line="360" w:lineRule="auto"/>
        <w:ind w:firstLine="372"/>
        <w:rPr>
          <w:szCs w:val="21"/>
        </w:rPr>
      </w:pPr>
      <w:r>
        <w:rPr>
          <w:szCs w:val="21"/>
        </w:rPr>
        <w:t>本文采用美国洛斯</w:t>
      </w:r>
      <w:r>
        <w:rPr>
          <w:szCs w:val="21"/>
        </w:rPr>
        <w:t>·</w:t>
      </w:r>
      <w:r>
        <w:rPr>
          <w:szCs w:val="21"/>
        </w:rPr>
        <w:t>阿拉莫斯国家实验室开发的</w:t>
      </w:r>
      <w:r>
        <w:rPr>
          <w:szCs w:val="21"/>
        </w:rPr>
        <w:t>MCNP5</w:t>
      </w:r>
      <w:r>
        <w:rPr>
          <w:szCs w:val="21"/>
        </w:rPr>
        <w:t>程序</w:t>
      </w:r>
      <w:r>
        <w:rPr>
          <w:szCs w:val="21"/>
          <w:vertAlign w:val="superscript"/>
        </w:rPr>
        <w:t>[9]</w:t>
      </w:r>
      <w:r>
        <w:rPr>
          <w:szCs w:val="21"/>
        </w:rPr>
        <w:t>对</w:t>
      </w:r>
      <w:r>
        <w:rPr>
          <w:szCs w:val="21"/>
        </w:rPr>
        <w:t>D19</w:t>
      </w:r>
      <w:r>
        <w:rPr>
          <w:szCs w:val="21"/>
        </w:rPr>
        <w:t>的首循环堆芯进行了精细建模和物理参数计算，程序所用的截面数据为</w:t>
      </w:r>
      <w:r>
        <w:rPr>
          <w:szCs w:val="21"/>
        </w:rPr>
        <w:t>ENDF/B-VII</w:t>
      </w:r>
      <w:r>
        <w:rPr>
          <w:szCs w:val="21"/>
        </w:rPr>
        <w:t>数据库的连续能量截面数据。</w:t>
      </w:r>
      <w:r>
        <w:rPr>
          <w:szCs w:val="21"/>
        </w:rPr>
        <w:t>MCNP5</w:t>
      </w:r>
      <w:r>
        <w:rPr>
          <w:szCs w:val="21"/>
        </w:rPr>
        <w:t>程序是一套用于中子、光子、电子及其耦合输运计算的多功能、大型三维多粒子输运计算的蒙特卡洛软件程序，在进行复杂几何</w:t>
      </w:r>
      <w:r>
        <w:rPr>
          <w:szCs w:val="21"/>
        </w:rPr>
        <w:t>的输运计算时，不需要任何近似</w:t>
      </w:r>
      <w:r>
        <w:rPr>
          <w:szCs w:val="21"/>
          <w:vertAlign w:val="superscript"/>
        </w:rPr>
        <w:t>[10]</w:t>
      </w:r>
      <w:r>
        <w:rPr>
          <w:szCs w:val="21"/>
        </w:rPr>
        <w:t>。为了使计算结果更加准确，除了堆芯部分，还在模拟程序中加入了堆芯上板（钢水打混）、堆芯围筒、堆芯吊篮、热屏蔽、堆芯下支撑板（钢水打混）、涡流抑制板（钢水打混）、二</w:t>
      </w:r>
      <w:r>
        <w:rPr>
          <w:szCs w:val="21"/>
        </w:rPr>
        <w:lastRenderedPageBreak/>
        <w:t>次支撑和压力容器等结构。所有的模拟过程均采用了大量粒子数的</w:t>
      </w:r>
      <w:r>
        <w:rPr>
          <w:szCs w:val="21"/>
        </w:rPr>
        <w:t>Message Passing Interface (MPI)</w:t>
      </w:r>
      <w:r>
        <w:rPr>
          <w:szCs w:val="21"/>
        </w:rPr>
        <w:t>并行（天河</w:t>
      </w:r>
      <w:r>
        <w:rPr>
          <w:szCs w:val="21"/>
        </w:rPr>
        <w:t>II</w:t>
      </w:r>
      <w:r>
        <w:rPr>
          <w:szCs w:val="21"/>
        </w:rPr>
        <w:t>号</w:t>
      </w:r>
      <w:r>
        <w:rPr>
          <w:szCs w:val="21"/>
        </w:rPr>
        <w:t>96</w:t>
      </w:r>
      <w:r>
        <w:rPr>
          <w:szCs w:val="21"/>
        </w:rPr>
        <w:t>核服务器），保证了结果的精确性。</w:t>
      </w:r>
    </w:p>
    <w:p w:rsidR="00205446" w:rsidRDefault="008671CD">
      <w:pPr>
        <w:spacing w:line="360" w:lineRule="auto"/>
        <w:jc w:val="left"/>
        <w:outlineLvl w:val="0"/>
        <w:rPr>
          <w:rFonts w:ascii="黑体" w:eastAsia="黑体" w:hAnsi="黑体" w:cs="微软雅黑"/>
          <w:b/>
          <w:sz w:val="28"/>
          <w:szCs w:val="28"/>
        </w:rPr>
      </w:pPr>
      <w:r>
        <w:rPr>
          <w:rFonts w:eastAsia="黑体"/>
          <w:b/>
          <w:sz w:val="28"/>
          <w:szCs w:val="28"/>
        </w:rPr>
        <w:t>3</w:t>
      </w:r>
      <w:r>
        <w:rPr>
          <w:rFonts w:eastAsia="黑体" w:cs="微软雅黑"/>
          <w:b/>
          <w:sz w:val="28"/>
          <w:szCs w:val="28"/>
        </w:rPr>
        <w:t xml:space="preserve"> </w:t>
      </w:r>
      <w:r>
        <w:rPr>
          <w:rFonts w:eastAsia="黑体" w:hint="eastAsia"/>
          <w:b/>
          <w:sz w:val="28"/>
          <w:szCs w:val="28"/>
        </w:rPr>
        <w:t>D19</w:t>
      </w:r>
      <w:r>
        <w:rPr>
          <w:rFonts w:eastAsia="黑体"/>
          <w:b/>
          <w:sz w:val="28"/>
          <w:szCs w:val="28"/>
        </w:rPr>
        <w:t>堆芯设计的临界模拟与物理参数计算</w:t>
      </w:r>
    </w:p>
    <w:p w:rsidR="00205446" w:rsidRDefault="008671CD">
      <w:pPr>
        <w:spacing w:line="360" w:lineRule="auto"/>
        <w:ind w:firstLine="420"/>
        <w:rPr>
          <w:szCs w:val="21"/>
        </w:rPr>
      </w:pPr>
      <w:r>
        <w:rPr>
          <w:rFonts w:cs="微软雅黑"/>
          <w:szCs w:val="21"/>
        </w:rPr>
        <w:t>本文的模拟均是在首循环堆芯热态满功率</w:t>
      </w:r>
      <w:r>
        <w:rPr>
          <w:rFonts w:cs="微软雅黑" w:hint="eastAsia"/>
          <w:szCs w:val="21"/>
        </w:rPr>
        <w:t>、</w:t>
      </w:r>
      <w:r>
        <w:rPr>
          <w:rFonts w:cs="微软雅黑"/>
          <w:szCs w:val="21"/>
        </w:rPr>
        <w:t>无氙</w:t>
      </w:r>
      <w:r>
        <w:rPr>
          <w:rFonts w:cs="微软雅黑" w:hint="eastAsia"/>
          <w:szCs w:val="21"/>
        </w:rPr>
        <w:t>和控制棒全提的状态下进行，堆芯入口（</w:t>
      </w:r>
      <w:r>
        <w:rPr>
          <w:szCs w:val="21"/>
        </w:rPr>
        <w:t xml:space="preserve">281 °C, </w:t>
      </w:r>
      <w:r>
        <w:rPr>
          <w:szCs w:val="21"/>
        </w:rPr>
        <w:t>15.93 MPa</w:t>
      </w:r>
      <w:r>
        <w:rPr>
          <w:rFonts w:cs="微软雅黑" w:hint="eastAsia"/>
          <w:szCs w:val="21"/>
        </w:rPr>
        <w:t>）、堆芯部分（</w:t>
      </w:r>
      <w:r>
        <w:rPr>
          <w:szCs w:val="21"/>
        </w:rPr>
        <w:t>301 °C, 15.50 MPa</w:t>
      </w:r>
      <w:r>
        <w:rPr>
          <w:rFonts w:cs="微软雅黑" w:hint="eastAsia"/>
          <w:szCs w:val="21"/>
        </w:rPr>
        <w:t>）及堆芯出口（</w:t>
      </w:r>
      <w:r>
        <w:rPr>
          <w:szCs w:val="21"/>
        </w:rPr>
        <w:t>321 °C, 15.50 MPa</w:t>
      </w:r>
      <w:r>
        <w:rPr>
          <w:rFonts w:cs="微软雅黑" w:hint="eastAsia"/>
          <w:szCs w:val="21"/>
        </w:rPr>
        <w:t>）冷却剂的密度分别为</w:t>
      </w:r>
      <w:r>
        <w:rPr>
          <w:szCs w:val="21"/>
        </w:rPr>
        <w:t>0.763 g/cm</w:t>
      </w:r>
      <w:r>
        <w:rPr>
          <w:szCs w:val="21"/>
          <w:vertAlign w:val="superscript"/>
        </w:rPr>
        <w:t>3</w:t>
      </w:r>
      <w:r>
        <w:rPr>
          <w:szCs w:val="21"/>
        </w:rPr>
        <w:t>, 0.724 g/cm</w:t>
      </w:r>
      <w:r>
        <w:rPr>
          <w:szCs w:val="21"/>
          <w:vertAlign w:val="superscript"/>
        </w:rPr>
        <w:t>3</w:t>
      </w:r>
      <w:r>
        <w:rPr>
          <w:szCs w:val="21"/>
        </w:rPr>
        <w:t xml:space="preserve">, </w:t>
      </w:r>
      <w:r>
        <w:rPr>
          <w:szCs w:val="21"/>
        </w:rPr>
        <w:t>和</w:t>
      </w:r>
      <w:r>
        <w:rPr>
          <w:szCs w:val="21"/>
        </w:rPr>
        <w:t>0.678g/cm</w:t>
      </w:r>
      <w:r>
        <w:rPr>
          <w:szCs w:val="21"/>
          <w:vertAlign w:val="superscript"/>
        </w:rPr>
        <w:t>3[11]</w:t>
      </w:r>
      <w:r>
        <w:rPr>
          <w:szCs w:val="21"/>
        </w:rPr>
        <w:t xml:space="preserve">. </w:t>
      </w:r>
      <w:r>
        <w:rPr>
          <w:szCs w:val="21"/>
        </w:rPr>
        <w:t>同时，慢化剂的热散射截面</w:t>
      </w:r>
      <w:r>
        <w:rPr>
          <w:i/>
          <w:szCs w:val="21"/>
        </w:rPr>
        <w:t>S</w:t>
      </w:r>
      <w:r>
        <w:rPr>
          <w:szCs w:val="21"/>
        </w:rPr>
        <w:t>(</w:t>
      </w:r>
      <w:r>
        <w:rPr>
          <w:i/>
          <w:szCs w:val="21"/>
        </w:rPr>
        <w:t>α</w:t>
      </w:r>
      <w:r>
        <w:rPr>
          <w:szCs w:val="21"/>
        </w:rPr>
        <w:t xml:space="preserve">, </w:t>
      </w:r>
      <w:r>
        <w:rPr>
          <w:i/>
          <w:szCs w:val="21"/>
        </w:rPr>
        <w:t>β</w:t>
      </w:r>
      <w:r>
        <w:rPr>
          <w:szCs w:val="21"/>
        </w:rPr>
        <w:t>)</w:t>
      </w:r>
      <w:r>
        <w:rPr>
          <w:szCs w:val="21"/>
        </w:rPr>
        <w:t>也加以考虑，用以处理小于</w:t>
      </w:r>
      <w:r>
        <w:rPr>
          <w:szCs w:val="21"/>
        </w:rPr>
        <w:t>4eV</w:t>
      </w:r>
      <w:r>
        <w:rPr>
          <w:szCs w:val="21"/>
        </w:rPr>
        <w:t>能量中子的碰撞。为了补偿堆芯剩余反应性以及展平堆芯径向功率分布，使用了硼酸、整体燃料可燃吸收体（</w:t>
      </w:r>
      <w:r>
        <w:rPr>
          <w:szCs w:val="21"/>
        </w:rPr>
        <w:t>IFBAs</w:t>
      </w:r>
      <w:r>
        <w:rPr>
          <w:szCs w:val="21"/>
        </w:rPr>
        <w:t>）和环状硼玻璃可燃吸收体（</w:t>
      </w:r>
      <w:r>
        <w:rPr>
          <w:szCs w:val="21"/>
        </w:rPr>
        <w:t>Pyrex</w:t>
      </w:r>
      <w:r>
        <w:rPr>
          <w:szCs w:val="21"/>
        </w:rPr>
        <w:t>）作为控制毒物。其中冷却剂中的硼酸含量为</w:t>
      </w:r>
      <w:r>
        <w:rPr>
          <w:szCs w:val="21"/>
        </w:rPr>
        <w:t>1184 ppm, 8832</w:t>
      </w:r>
      <w:r>
        <w:rPr>
          <w:szCs w:val="21"/>
        </w:rPr>
        <w:t>根燃料棒涂覆</w:t>
      </w:r>
      <w:r>
        <w:rPr>
          <w:szCs w:val="21"/>
        </w:rPr>
        <w:t>Z</w:t>
      </w:r>
      <w:r>
        <w:rPr>
          <w:szCs w:val="21"/>
        </w:rPr>
        <w:t>rB</w:t>
      </w:r>
      <w:r>
        <w:rPr>
          <w:szCs w:val="21"/>
          <w:vertAlign w:val="subscript"/>
        </w:rPr>
        <w:t>2</w:t>
      </w:r>
      <w:r>
        <w:rPr>
          <w:szCs w:val="21"/>
        </w:rPr>
        <w:t>薄层（含</w:t>
      </w:r>
      <w:r>
        <w:rPr>
          <w:szCs w:val="21"/>
          <w:vertAlign w:val="superscript"/>
        </w:rPr>
        <w:t>10</w:t>
      </w:r>
      <w:r>
        <w:rPr>
          <w:szCs w:val="21"/>
        </w:rPr>
        <w:t>B 0.772 mg/cm</w:t>
      </w:r>
      <w:r>
        <w:rPr>
          <w:szCs w:val="21"/>
        </w:rPr>
        <w:t>），在特定燃料组件的导向管中插入</w:t>
      </w:r>
      <w:r>
        <w:rPr>
          <w:szCs w:val="21"/>
        </w:rPr>
        <w:t>1560</w:t>
      </w:r>
      <w:r>
        <w:rPr>
          <w:szCs w:val="21"/>
        </w:rPr>
        <w:t>根</w:t>
      </w:r>
      <w:r>
        <w:rPr>
          <w:szCs w:val="21"/>
        </w:rPr>
        <w:t>Pyrex</w:t>
      </w:r>
      <w:r>
        <w:rPr>
          <w:szCs w:val="21"/>
        </w:rPr>
        <w:t>吸收体（含</w:t>
      </w:r>
      <w:r>
        <w:rPr>
          <w:szCs w:val="21"/>
          <w:vertAlign w:val="superscript"/>
        </w:rPr>
        <w:t>10</w:t>
      </w:r>
      <w:r>
        <w:rPr>
          <w:szCs w:val="21"/>
        </w:rPr>
        <w:t>B 6.24 mg/cm</w:t>
      </w:r>
      <w:r>
        <w:rPr>
          <w:szCs w:val="21"/>
        </w:rPr>
        <w:t>）</w:t>
      </w:r>
      <w:r>
        <w:rPr>
          <w:szCs w:val="21"/>
          <w:vertAlign w:val="superscript"/>
        </w:rPr>
        <w:t>[8]</w:t>
      </w:r>
      <w:r>
        <w:rPr>
          <w:szCs w:val="21"/>
        </w:rPr>
        <w:t>。</w:t>
      </w:r>
    </w:p>
    <w:p w:rsidR="00205446" w:rsidRDefault="008671CD">
      <w:pPr>
        <w:spacing w:after="120" w:line="360" w:lineRule="auto"/>
        <w:ind w:firstLine="420"/>
        <w:rPr>
          <w:szCs w:val="21"/>
        </w:rPr>
      </w:pPr>
      <w:r>
        <w:rPr>
          <w:szCs w:val="21"/>
        </w:rPr>
        <w:t>表</w:t>
      </w:r>
      <w:r>
        <w:rPr>
          <w:szCs w:val="21"/>
        </w:rPr>
        <w:t>2</w:t>
      </w:r>
      <w:r>
        <w:rPr>
          <w:szCs w:val="21"/>
        </w:rPr>
        <w:t>给出了</w:t>
      </w:r>
      <w:r>
        <w:rPr>
          <w:szCs w:val="21"/>
        </w:rPr>
        <w:t>D19</w:t>
      </w:r>
      <w:r>
        <w:rPr>
          <w:szCs w:val="21"/>
        </w:rPr>
        <w:t>堆芯主要的设计</w:t>
      </w:r>
      <w:r>
        <w:rPr>
          <w:szCs w:val="21"/>
          <w:vertAlign w:val="superscript"/>
        </w:rPr>
        <w:t>[8]</w:t>
      </w:r>
      <w:r>
        <w:rPr>
          <w:szCs w:val="21"/>
        </w:rPr>
        <w:t>与模拟的临界参数结果。从表</w:t>
      </w:r>
      <w:r>
        <w:rPr>
          <w:szCs w:val="21"/>
        </w:rPr>
        <w:t>2</w:t>
      </w:r>
      <w:r>
        <w:rPr>
          <w:szCs w:val="21"/>
        </w:rPr>
        <w:t>可以看出，模拟结果与参考文献给出的结果符合得很好，可以说明由</w:t>
      </w:r>
      <w:r>
        <w:rPr>
          <w:szCs w:val="21"/>
        </w:rPr>
        <w:t>MCNP5</w:t>
      </w:r>
      <w:r>
        <w:rPr>
          <w:szCs w:val="21"/>
        </w:rPr>
        <w:t>建立的计算模型是准确的。</w:t>
      </w:r>
    </w:p>
    <w:p w:rsidR="00205446" w:rsidRDefault="008671CD">
      <w:pPr>
        <w:ind w:firstLine="361"/>
        <w:jc w:val="center"/>
        <w:rPr>
          <w:sz w:val="18"/>
          <w:szCs w:val="18"/>
        </w:rPr>
      </w:pPr>
      <w:r>
        <w:rPr>
          <w:b/>
          <w:sz w:val="18"/>
          <w:szCs w:val="18"/>
        </w:rPr>
        <w:t>表</w:t>
      </w:r>
      <w:r>
        <w:rPr>
          <w:b/>
          <w:sz w:val="18"/>
          <w:szCs w:val="18"/>
        </w:rPr>
        <w:t>2</w:t>
      </w:r>
      <w:r>
        <w:rPr>
          <w:sz w:val="18"/>
          <w:szCs w:val="18"/>
        </w:rPr>
        <w:t xml:space="preserve"> D19</w:t>
      </w:r>
      <w:r>
        <w:rPr>
          <w:sz w:val="18"/>
          <w:szCs w:val="18"/>
        </w:rPr>
        <w:t>堆芯参考</w:t>
      </w:r>
      <w:r>
        <w:rPr>
          <w:sz w:val="18"/>
          <w:szCs w:val="18"/>
          <w:vertAlign w:val="superscript"/>
        </w:rPr>
        <w:t>[8]</w:t>
      </w:r>
      <w:r>
        <w:rPr>
          <w:sz w:val="18"/>
          <w:szCs w:val="18"/>
        </w:rPr>
        <w:t>与模拟的临界参数的结果比较</w:t>
      </w:r>
    </w:p>
    <w:p w:rsidR="00205446" w:rsidRDefault="008671CD">
      <w:pPr>
        <w:spacing w:after="120"/>
        <w:jc w:val="center"/>
        <w:rPr>
          <w:sz w:val="18"/>
          <w:szCs w:val="18"/>
        </w:rPr>
      </w:pPr>
      <w:r>
        <w:rPr>
          <w:rFonts w:eastAsia="黑体"/>
          <w:b/>
          <w:sz w:val="18"/>
          <w:szCs w:val="18"/>
        </w:rPr>
        <w:t>Table 2</w:t>
      </w:r>
      <w:r>
        <w:rPr>
          <w:rFonts w:eastAsia="黑体"/>
          <w:sz w:val="18"/>
          <w:szCs w:val="18"/>
        </w:rPr>
        <w:t xml:space="preserve"> Comparisons of the referenced </w:t>
      </w:r>
      <w:r>
        <w:rPr>
          <w:rFonts w:eastAsia="黑体"/>
          <w:sz w:val="18"/>
          <w:szCs w:val="18"/>
          <w:vertAlign w:val="superscript"/>
        </w:rPr>
        <w:t>[8]</w:t>
      </w:r>
      <w:r>
        <w:rPr>
          <w:rFonts w:eastAsia="黑体"/>
          <w:sz w:val="18"/>
          <w:szCs w:val="18"/>
        </w:rPr>
        <w:t xml:space="preserve"> and</w:t>
      </w:r>
      <w:r>
        <w:rPr>
          <w:rFonts w:eastAsia="黑体" w:hint="eastAsia"/>
          <w:sz w:val="18"/>
          <w:szCs w:val="18"/>
        </w:rPr>
        <w:t xml:space="preserve"> </w:t>
      </w:r>
      <w:r>
        <w:rPr>
          <w:rFonts w:eastAsia="黑体"/>
          <w:sz w:val="18"/>
          <w:szCs w:val="18"/>
        </w:rPr>
        <w:t xml:space="preserve">simulated critical parameters </w:t>
      </w:r>
      <w:r>
        <w:rPr>
          <w:rFonts w:eastAsia="黑体"/>
          <w:sz w:val="18"/>
          <w:szCs w:val="18"/>
        </w:rPr>
        <w:t xml:space="preserve">of the </w:t>
      </w:r>
      <w:r>
        <w:rPr>
          <w:sz w:val="18"/>
          <w:szCs w:val="18"/>
        </w:rPr>
        <w:t>D19 core.</w:t>
      </w:r>
    </w:p>
    <w:p w:rsidR="00205446" w:rsidRDefault="00205446">
      <w:pPr>
        <w:rPr>
          <w:sz w:val="18"/>
          <w:szCs w:val="18"/>
        </w:rPr>
      </w:pPr>
      <w:r w:rsidRPr="00205446">
        <w:rPr>
          <w:noProof/>
        </w:rPr>
        <w:pict>
          <v:shapetype id="_x0000_m1030" coordsize="21600,21600" o:spt="202" path="m,l,21600r21600,l21600,xe">
            <v:stroke joinstyle="round"/>
            <v:path gradientshapeok="t" o:connecttype="rect"/>
          </v:shapetype>
        </w:pict>
      </w:r>
      <w:bookmarkStart w:id="1" w:name="_Toc411084010"/>
      <w:bookmarkEnd w:id="1"/>
      <w:r w:rsidRPr="00205446">
        <w:rPr>
          <w:noProof/>
        </w:rPr>
        <w:pict>
          <v:shape id="文本框1" o:spid="_x0000_s1026" type="#_x0000_m1030" style="position:absolute;left:0;text-align:left;margin-left:0;margin-top:1.2pt;width:595.3pt;height:158.1pt;z-index:251658752;mso-wrap-style:none;mso-wrap-distance-left:9pt;mso-wrap-distance-top:0;mso-wrap-distance-right:9pt;mso-wrap-distance-bottom:0;mso-position-horizontal-relative:margin" filled="f" stroked="f" o:insetmode="custom">
            <v:textbox style="mso-fit-shape-to-text:t" inset="0,0,.6pt,.6pt">
              <w:txbxContent>
                <w:tbl>
                  <w:tblPr>
                    <w:tblW w:w="11895" w:type="dxa"/>
                    <w:tblInd w:w="98" w:type="dxa"/>
                    <w:tblCellMar>
                      <w:left w:w="10" w:type="dxa"/>
                      <w:right w:w="10" w:type="dxa"/>
                    </w:tblCellMar>
                    <w:tblLook w:val="0000"/>
                  </w:tblPr>
                  <w:tblGrid>
                    <w:gridCol w:w="6269"/>
                    <w:gridCol w:w="3033"/>
                    <w:gridCol w:w="2593"/>
                  </w:tblGrid>
                  <w:tr w:rsidR="00205446">
                    <w:tblPrEx>
                      <w:tblCellMar>
                        <w:top w:w="0" w:type="dxa"/>
                        <w:bottom w:w="0" w:type="dxa"/>
                      </w:tblCellMar>
                    </w:tblPrEx>
                    <w:trPr>
                      <w:trHeight w:val="397"/>
                    </w:trPr>
                    <w:tc>
                      <w:tcPr>
                        <w:tcW w:w="2635" w:type="pct"/>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核设计参数（单位）</w:t>
                        </w:r>
                      </w:p>
                    </w:tc>
                    <w:tc>
                      <w:tcPr>
                        <w:tcW w:w="1275" w:type="pct"/>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rFonts w:ascii="宋体" w:hAnsi="宋体"/>
                            <w:sz w:val="18"/>
                            <w:szCs w:val="18"/>
                          </w:rPr>
                        </w:pPr>
                        <w:r>
                          <w:rPr>
                            <w:rFonts w:ascii="宋体" w:hAnsi="宋体" w:hint="eastAsia"/>
                            <w:sz w:val="18"/>
                            <w:szCs w:val="18"/>
                          </w:rPr>
                          <w:t>参考文献</w:t>
                        </w:r>
                        <w:r>
                          <w:rPr>
                            <w:rFonts w:ascii="宋体" w:hAnsi="宋体"/>
                            <w:sz w:val="18"/>
                            <w:szCs w:val="18"/>
                          </w:rPr>
                          <w:t>结果</w:t>
                        </w:r>
                      </w:p>
                    </w:tc>
                    <w:tc>
                      <w:tcPr>
                        <w:tcW w:w="1090" w:type="pct"/>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模拟结果</w:t>
                        </w:r>
                      </w:p>
                    </w:tc>
                  </w:tr>
                  <w:tr w:rsidR="00205446">
                    <w:tblPrEx>
                      <w:tblCellMar>
                        <w:top w:w="0" w:type="dxa"/>
                        <w:bottom w:w="0" w:type="dxa"/>
                      </w:tblCellMar>
                    </w:tblPrEx>
                    <w:trPr>
                      <w:trHeight w:val="454"/>
                    </w:trPr>
                    <w:tc>
                      <w:tcPr>
                        <w:tcW w:w="2635" w:type="pct"/>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b/>
                            <w:sz w:val="18"/>
                            <w:szCs w:val="18"/>
                          </w:rPr>
                        </w:pPr>
                        <w:r>
                          <w:rPr>
                            <w:i/>
                            <w:sz w:val="18"/>
                            <w:szCs w:val="18"/>
                          </w:rPr>
                          <w:t>k</w:t>
                        </w:r>
                        <w:r>
                          <w:rPr>
                            <w:i/>
                            <w:sz w:val="18"/>
                            <w:szCs w:val="18"/>
                            <w:vertAlign w:val="subscript"/>
                          </w:rPr>
                          <w:t>eff</w:t>
                        </w:r>
                      </w:p>
                    </w:tc>
                    <w:tc>
                      <w:tcPr>
                        <w:tcW w:w="1275" w:type="pct"/>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1.0</w:t>
                        </w:r>
                      </w:p>
                    </w:tc>
                    <w:tc>
                      <w:tcPr>
                        <w:tcW w:w="1090" w:type="pct"/>
                        <w:tcBorders>
                          <w:top w:val="single" w:sz="4"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1.0</w:t>
                        </w:r>
                      </w:p>
                    </w:tc>
                  </w:tr>
                  <w:tr w:rsidR="00205446">
                    <w:tblPrEx>
                      <w:tblCellMar>
                        <w:top w:w="0" w:type="dxa"/>
                        <w:bottom w:w="0" w:type="dxa"/>
                      </w:tblCellMar>
                    </w:tblPrEx>
                    <w:trPr>
                      <w:trHeight w:val="454"/>
                    </w:trPr>
                    <w:tc>
                      <w:tcPr>
                        <w:tcW w:w="263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堆芯平均线功率密度</w:t>
                        </w:r>
                        <w:r>
                          <w:rPr>
                            <w:sz w:val="18"/>
                            <w:szCs w:val="18"/>
                          </w:rPr>
                          <w:t xml:space="preserve"> (W/cm)</w:t>
                        </w:r>
                      </w:p>
                    </w:tc>
                    <w:tc>
                      <w:tcPr>
                        <w:tcW w:w="127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187.3</w:t>
                        </w:r>
                      </w:p>
                    </w:tc>
                    <w:tc>
                      <w:tcPr>
                        <w:tcW w:w="1090"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190.2</w:t>
                        </w:r>
                      </w:p>
                    </w:tc>
                  </w:tr>
                  <w:tr w:rsidR="00205446">
                    <w:tblPrEx>
                      <w:tblCellMar>
                        <w:top w:w="0" w:type="dxa"/>
                        <w:bottom w:w="0" w:type="dxa"/>
                      </w:tblCellMar>
                    </w:tblPrEx>
                    <w:trPr>
                      <w:trHeight w:val="454"/>
                    </w:trPr>
                    <w:tc>
                      <w:tcPr>
                        <w:tcW w:w="263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b/>
                            <w:sz w:val="18"/>
                            <w:szCs w:val="18"/>
                          </w:rPr>
                        </w:pPr>
                        <w:bookmarkStart w:id="2" w:name="OLE_LINK36"/>
                        <w:bookmarkStart w:id="3" w:name="_Hlk436855381"/>
                        <w:bookmarkEnd w:id="2"/>
                        <w:bookmarkEnd w:id="3"/>
                        <w:r>
                          <w:rPr>
                            <w:sz w:val="18"/>
                            <w:szCs w:val="18"/>
                          </w:rPr>
                          <w:t>慢化剂温度系数</w:t>
                        </w:r>
                        <w:r>
                          <w:rPr>
                            <w:sz w:val="18"/>
                            <w:szCs w:val="18"/>
                          </w:rPr>
                          <w:t xml:space="preserve"> (pcm/K)</w:t>
                        </w:r>
                      </w:p>
                    </w:tc>
                    <w:tc>
                      <w:tcPr>
                        <w:tcW w:w="127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-18.7</w:t>
                        </w:r>
                      </w:p>
                    </w:tc>
                    <w:tc>
                      <w:tcPr>
                        <w:tcW w:w="1090"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-16.0</w:t>
                        </w:r>
                      </w:p>
                    </w:tc>
                  </w:tr>
                  <w:tr w:rsidR="00205446">
                    <w:tblPrEx>
                      <w:tblCellMar>
                        <w:top w:w="0" w:type="dxa"/>
                        <w:bottom w:w="0" w:type="dxa"/>
                      </w:tblCellMar>
                    </w:tblPrEx>
                    <w:trPr>
                      <w:trHeight w:val="454"/>
                    </w:trPr>
                    <w:tc>
                      <w:tcPr>
                        <w:tcW w:w="263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慢化剂密度系数</w:t>
                        </w:r>
                        <w:r>
                          <w:rPr>
                            <w:sz w:val="18"/>
                            <w:szCs w:val="18"/>
                          </w:rPr>
                          <w:t xml:space="preserve"> (</w:t>
                        </w:r>
                        <w:r>
                          <w:rPr>
                            <w:rFonts w:ascii="Cambria Math" w:hAnsi="Cambria Math" w:cs="Cambria Math"/>
                            <w:sz w:val="18"/>
                            <w:szCs w:val="18"/>
                          </w:rPr>
                          <w:t>△</w:t>
                        </w:r>
                        <w:r>
                          <w:rPr>
                            <w:sz w:val="18"/>
                            <w:szCs w:val="18"/>
                          </w:rPr>
                          <w:t>k/g/cm</w:t>
                        </w:r>
                        <w:r>
                          <w:rPr>
                            <w:sz w:val="18"/>
                            <w:szCs w:val="18"/>
                            <w:vertAlign w:val="superscript"/>
                          </w:rPr>
                          <w:t>3</w:t>
                        </w:r>
                        <w:r>
                          <w:rPr>
                            <w:sz w:val="18"/>
                            <w:szCs w:val="18"/>
                          </w:rPr>
                          <w:t>)</w:t>
                        </w:r>
                      </w:p>
                    </w:tc>
                    <w:tc>
                      <w:tcPr>
                        <w:tcW w:w="127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0.09</w:t>
                        </w:r>
                      </w:p>
                    </w:tc>
                    <w:tc>
                      <w:tcPr>
                        <w:tcW w:w="1090"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0.08</w:t>
                        </w:r>
                      </w:p>
                    </w:tc>
                  </w:tr>
                  <w:tr w:rsidR="00205446">
                    <w:tblPrEx>
                      <w:tblCellMar>
                        <w:top w:w="0" w:type="dxa"/>
                        <w:bottom w:w="0" w:type="dxa"/>
                      </w:tblCellMar>
                    </w:tblPrEx>
                    <w:trPr>
                      <w:trHeight w:val="454"/>
                    </w:trPr>
                    <w:tc>
                      <w:tcPr>
                        <w:tcW w:w="263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核焓升热管因子</w:t>
                        </w:r>
                        <w:r>
                          <w:rPr>
                            <w:sz w:val="18"/>
                            <w:szCs w:val="18"/>
                          </w:rPr>
                          <w:t xml:space="preserve"> </w:t>
                        </w:r>
                        <w:r>
                          <w:rPr>
                            <w:noProof/>
                          </w:rPr>
                          <w:drawing>
                            <wp:inline distT="0" distB="0" distL="114300" distR="114300">
                              <wp:extent cx="205740" cy="198120"/>
                              <wp:effectExtent l="0" t="0" r="0" b="0"/>
                              <wp:docPr id="17" name="图片模式3"/>
                              <wp:cNvGraphicFramePr/>
                              <a:graphic xmlns:a="http://schemas.openxmlformats.org/drawingml/2006/main">
                                <a:graphicData uri="http://schemas.openxmlformats.org/drawingml/2006/picture">
                                  <pic:pic xmlns:pic="http://schemas.openxmlformats.org/drawingml/2006/picture">
                                    <pic:nvPicPr>
                                      <pic:cNvPr id="17" name="图片模式3"/>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B8AAAAAgAAAAAAAAAEAAAAAAAAAAgAAAACA//8AAAAAAgAAAACA//9EAQAAOAEAAAAAAAAAAAAAAAAAAA=="/>
                                          </a:ext>
                                        </a:extLst>
                                      </pic:cNvPicPr>
                                    </pic:nvPicPr>
                                    <pic:blipFill>
                                      <a:blip r:embed="rId9">
                                        <a:clrChange>
                                          <a:clrFrom>
                                            <a:srgbClr val="FFFFFF"/>
                                          </a:clrFrom>
                                          <a:clrTo>
                                            <a:srgbClr val="FFFFFF">
                                              <a:alpha val="0"/>
                                            </a:srgbClr>
                                          </a:clrTo>
                                        </a:clrChange>
                                      </a:blip>
                                      <a:stretch>
                                        <a:fillRect/>
                                      </a:stretch>
                                    </pic:blipFill>
                                    <pic:spPr>
                                      <a:xfrm>
                                        <a:off x="0" y="0"/>
                                        <a:ext cx="205740" cy="198120"/>
                                      </a:xfrm>
                                      <a:prstGeom prst="rect">
                                        <a:avLst/>
                                      </a:prstGeom>
                                      <a:noFill/>
                                      <a:ln w="12700">
                                        <a:noFill/>
                                      </a:ln>
                                    </pic:spPr>
                                  </pic:pic>
                                </a:graphicData>
                              </a:graphic>
                            </wp:inline>
                          </w:drawing>
                        </w:r>
                        <w:r>
                          <w:rPr>
                            <w:noProof/>
                          </w:rPr>
                          <w:drawing>
                            <wp:inline distT="0" distB="0" distL="114300" distR="114300">
                              <wp:extent cx="205740" cy="198120"/>
                              <wp:effectExtent l="0" t="0" r="0" b="0"/>
                              <wp:docPr id="18" name="图片模式4"/>
                              <wp:cNvGraphicFramePr/>
                              <a:graphic xmlns:a="http://schemas.openxmlformats.org/drawingml/2006/main">
                                <a:graphicData uri="http://schemas.openxmlformats.org/drawingml/2006/picture">
                                  <pic:pic xmlns:pic="http://schemas.openxmlformats.org/drawingml/2006/picture">
                                    <pic:nvPicPr>
                                      <pic:cNvPr id="18" name="图片模式4"/>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B8AAAAAgAAAAAAAAAEAAAAAAAAAAgAAAACA//8AAAAAAgAAAACA//9EAQAAOAEAAAAAAAAAAAAAAAAAAA=="/>
                                          </a:ext>
                                        </a:extLst>
                                      </pic:cNvPicPr>
                                    </pic:nvPicPr>
                                    <pic:blipFill>
                                      <a:blip r:embed="rId9">
                                        <a:clrChange>
                                          <a:clrFrom>
                                            <a:srgbClr val="FFFFFF"/>
                                          </a:clrFrom>
                                          <a:clrTo>
                                            <a:srgbClr val="FFFFFF">
                                              <a:alpha val="0"/>
                                            </a:srgbClr>
                                          </a:clrTo>
                                        </a:clrChange>
                                      </a:blip>
                                      <a:stretch>
                                        <a:fillRect/>
                                      </a:stretch>
                                    </pic:blipFill>
                                    <pic:spPr>
                                      <a:xfrm>
                                        <a:off x="0" y="0"/>
                                        <a:ext cx="205740" cy="198120"/>
                                      </a:xfrm>
                                      <a:prstGeom prst="rect">
                                        <a:avLst/>
                                      </a:prstGeom>
                                      <a:noFill/>
                                      <a:ln w="12700">
                                        <a:noFill/>
                                      </a:ln>
                                    </pic:spPr>
                                  </pic:pic>
                                </a:graphicData>
                              </a:graphic>
                            </wp:inline>
                          </w:drawing>
                        </w:r>
                      </w:p>
                    </w:tc>
                    <w:tc>
                      <w:tcPr>
                        <w:tcW w:w="1275"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rFonts w:eastAsia="方正舒体"/>
                            <w:sz w:val="18"/>
                            <w:szCs w:val="18"/>
                          </w:rPr>
                          <w:t>1.406</w:t>
                        </w:r>
                      </w:p>
                    </w:tc>
                    <w:tc>
                      <w:tcPr>
                        <w:tcW w:w="1090" w:type="pct"/>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1.411</w:t>
                        </w:r>
                      </w:p>
                    </w:tc>
                  </w:tr>
                  <w:tr w:rsidR="00205446">
                    <w:tblPrEx>
                      <w:tblCellMar>
                        <w:top w:w="0" w:type="dxa"/>
                        <w:bottom w:w="0" w:type="dxa"/>
                      </w:tblCellMar>
                    </w:tblPrEx>
                    <w:trPr>
                      <w:trHeight w:val="454"/>
                    </w:trPr>
                    <w:tc>
                      <w:tcPr>
                        <w:tcW w:w="2635" w:type="pct"/>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热停堆裕量</w:t>
                        </w:r>
                        <w:r>
                          <w:rPr>
                            <w:sz w:val="18"/>
                            <w:szCs w:val="18"/>
                          </w:rPr>
                          <w:t xml:space="preserve"> (%</w:t>
                        </w:r>
                        <w:r>
                          <w:rPr>
                            <w:rFonts w:ascii="Cambria Math" w:hAnsi="Cambria Math" w:cs="Cambria Math"/>
                            <w:sz w:val="18"/>
                            <w:szCs w:val="18"/>
                          </w:rPr>
                          <w:t>△</w:t>
                        </w:r>
                        <w:r>
                          <w:rPr>
                            <w:sz w:val="18"/>
                            <w:szCs w:val="18"/>
                          </w:rPr>
                          <w:t xml:space="preserve">ρ) </w:t>
                        </w:r>
                        <w:r>
                          <w:rPr>
                            <w:sz w:val="18"/>
                            <w:szCs w:val="18"/>
                            <w:vertAlign w:val="superscript"/>
                          </w:rPr>
                          <w:t>a</w:t>
                        </w:r>
                      </w:p>
                    </w:tc>
                    <w:tc>
                      <w:tcPr>
                        <w:tcW w:w="1275" w:type="pct"/>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5.60</w:t>
                        </w:r>
                      </w:p>
                    </w:tc>
                    <w:tc>
                      <w:tcPr>
                        <w:tcW w:w="1090" w:type="pct"/>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 w:val="18"/>
                            <w:szCs w:val="18"/>
                          </w:rPr>
                        </w:pPr>
                        <w:r>
                          <w:rPr>
                            <w:sz w:val="18"/>
                            <w:szCs w:val="18"/>
                          </w:rPr>
                          <w:t>5.63</w:t>
                        </w:r>
                        <w:r>
                          <w:rPr>
                            <w:sz w:val="18"/>
                            <w:szCs w:val="18"/>
                            <w:vertAlign w:val="superscript"/>
                          </w:rPr>
                          <w:t xml:space="preserve"> </w:t>
                        </w:r>
                      </w:p>
                    </w:tc>
                  </w:tr>
                </w:tbl>
                <w:p w:rsidR="00205446" w:rsidRDefault="00205446"/>
              </w:txbxContent>
            </v:textbox>
            <w10:wrap type="square" anchorx="margin"/>
          </v:shape>
        </w:pict>
      </w:r>
      <w:r w:rsidR="008671CD">
        <w:rPr>
          <w:sz w:val="18"/>
          <w:szCs w:val="18"/>
          <w:vertAlign w:val="superscript"/>
        </w:rPr>
        <w:t xml:space="preserve">a </w:t>
      </w:r>
      <w:r w:rsidR="008671CD">
        <w:rPr>
          <w:sz w:val="18"/>
          <w:szCs w:val="18"/>
        </w:rPr>
        <w:t>考虑了</w:t>
      </w:r>
      <w:r w:rsidR="008671CD">
        <w:rPr>
          <w:sz w:val="18"/>
          <w:szCs w:val="18"/>
        </w:rPr>
        <w:t>3.9°C</w:t>
      </w:r>
      <w:r w:rsidR="008671CD">
        <w:rPr>
          <w:sz w:val="18"/>
          <w:szCs w:val="18"/>
        </w:rPr>
        <w:t>的慢化剂温度不确定性，</w:t>
      </w:r>
      <w:r w:rsidR="008671CD">
        <w:rPr>
          <w:sz w:val="18"/>
          <w:szCs w:val="18"/>
        </w:rPr>
        <w:t>2%</w:t>
      </w:r>
      <w:r w:rsidR="008671CD">
        <w:rPr>
          <w:rFonts w:ascii="Cambria Math" w:hAnsi="Cambria Math" w:cs="Cambria Math"/>
          <w:sz w:val="18"/>
          <w:szCs w:val="18"/>
        </w:rPr>
        <w:t>△</w:t>
      </w:r>
      <w:r w:rsidR="008671CD">
        <w:rPr>
          <w:sz w:val="18"/>
          <w:szCs w:val="18"/>
        </w:rPr>
        <w:t>ρ</w:t>
      </w:r>
      <w:r w:rsidR="008671CD">
        <w:rPr>
          <w:sz w:val="18"/>
          <w:szCs w:val="18"/>
        </w:rPr>
        <w:t>的控制棒允许插入量，</w:t>
      </w:r>
      <w:r w:rsidR="008671CD">
        <w:rPr>
          <w:sz w:val="18"/>
          <w:szCs w:val="18"/>
        </w:rPr>
        <w:t>7%</w:t>
      </w:r>
      <w:r w:rsidR="008671CD">
        <w:rPr>
          <w:rFonts w:ascii="Cambria Math" w:hAnsi="Cambria Math" w:cs="Cambria Math"/>
          <w:sz w:val="18"/>
          <w:szCs w:val="18"/>
        </w:rPr>
        <w:t>△</w:t>
      </w:r>
      <w:r w:rsidR="008671CD">
        <w:rPr>
          <w:sz w:val="18"/>
          <w:szCs w:val="18"/>
        </w:rPr>
        <w:t xml:space="preserve">ρ </w:t>
      </w:r>
      <w:r w:rsidR="008671CD">
        <w:rPr>
          <w:sz w:val="18"/>
          <w:szCs w:val="18"/>
        </w:rPr>
        <w:t>的控制棒价值不确定性，</w:t>
      </w:r>
      <w:r w:rsidR="008671CD">
        <w:rPr>
          <w:sz w:val="18"/>
          <w:szCs w:val="18"/>
        </w:rPr>
        <w:t>以及价值最大的一束控制棒组件卡在堆外。</w:t>
      </w:r>
    </w:p>
    <w:p w:rsidR="00205446" w:rsidRDefault="008671CD">
      <w:pPr>
        <w:spacing w:before="120" w:line="360" w:lineRule="auto"/>
        <w:ind w:firstLine="420"/>
        <w:rPr>
          <w:szCs w:val="21"/>
        </w:rPr>
      </w:pPr>
      <w:r>
        <w:rPr>
          <w:szCs w:val="21"/>
        </w:rPr>
        <w:t>D19</w:t>
      </w:r>
      <w:r>
        <w:rPr>
          <w:szCs w:val="21"/>
        </w:rPr>
        <w:t>堆芯的径向功率密度分布（燃料棒轴向积分）见图</w:t>
      </w:r>
      <w:r>
        <w:rPr>
          <w:szCs w:val="21"/>
        </w:rPr>
        <w:t>3</w:t>
      </w:r>
      <w:r>
        <w:rPr>
          <w:szCs w:val="21"/>
        </w:rPr>
        <w:t>。可以看出，在控制毒物的控制下，堆芯中部的功率密度较高，而堆芯边缘部分的功率密度较低。需要注意的是，</w:t>
      </w:r>
      <w:r>
        <w:rPr>
          <w:szCs w:val="21"/>
        </w:rPr>
        <w:t>D19</w:t>
      </w:r>
      <w:r>
        <w:rPr>
          <w:szCs w:val="21"/>
        </w:rPr>
        <w:t>堆芯是高泄漏布置，富集度高的燃料组件布置在堆芯边缘。随着可燃毒物的消耗，堆芯边缘的发热功率份额会逐渐增大，不仅大量中子会泄露出堆芯，中子经济性较差，更重要的是，堆芯边缘相对较高的中子通量密度会减少压力容器的使用寿命。由于压力容器在反应堆整个寿期内无法更换，可以说压力容器的使用寿命决定着反应堆的寿命，而反应堆的延寿</w:t>
      </w:r>
      <w:r>
        <w:rPr>
          <w:szCs w:val="21"/>
        </w:rPr>
        <w:t>问题现已得到主要拥核国家的重视。从此角度看，</w:t>
      </w:r>
      <w:r>
        <w:rPr>
          <w:szCs w:val="21"/>
        </w:rPr>
        <w:t>D19</w:t>
      </w:r>
      <w:r>
        <w:rPr>
          <w:szCs w:val="21"/>
        </w:rPr>
        <w:t>的堆芯布置并不是一个完美的设计。对于</w:t>
      </w:r>
      <w:r>
        <w:rPr>
          <w:szCs w:val="21"/>
        </w:rPr>
        <w:t>AP1000-Adv</w:t>
      </w:r>
      <w:r>
        <w:rPr>
          <w:szCs w:val="21"/>
        </w:rPr>
        <w:t>堆芯，虽然是低泄漏布置，但是燃料组件布置十分复杂，装错</w:t>
      </w:r>
      <w:r>
        <w:rPr>
          <w:szCs w:val="21"/>
        </w:rPr>
        <w:lastRenderedPageBreak/>
        <w:t>料事故的概率高，因此参考文献</w:t>
      </w:r>
      <w:r>
        <w:rPr>
          <w:szCs w:val="21"/>
        </w:rPr>
        <w:t>[6]</w:t>
      </w:r>
      <w:r>
        <w:rPr>
          <w:szCs w:val="21"/>
        </w:rPr>
        <w:t>建议</w:t>
      </w:r>
      <w:r>
        <w:rPr>
          <w:szCs w:val="21"/>
        </w:rPr>
        <w:t>AP1000</w:t>
      </w:r>
      <w:r>
        <w:rPr>
          <w:szCs w:val="21"/>
        </w:rPr>
        <w:t>首循环堆芯采用更加简化的低泄漏装载方案，并满足堆芯设计要求。</w:t>
      </w:r>
    </w:p>
    <w:p w:rsidR="00205446" w:rsidRDefault="008671CD">
      <w:pPr>
        <w:spacing w:before="120" w:line="360" w:lineRule="auto"/>
        <w:jc w:val="center"/>
        <w:rPr>
          <w:noProof/>
        </w:rPr>
      </w:pPr>
      <w:r>
        <w:rPr>
          <w:noProof/>
        </w:rPr>
        <w:drawing>
          <wp:inline distT="0" distB="0" distL="114300" distR="114300">
            <wp:extent cx="3779520" cy="2773680"/>
            <wp:effectExtent l="0" t="0" r="0" b="0"/>
            <wp:docPr id="3" name="图片模式5"/>
            <wp:cNvGraphicFramePr/>
            <a:graphic xmlns:a="http://schemas.openxmlformats.org/drawingml/2006/main">
              <a:graphicData uri="http://schemas.openxmlformats.org/drawingml/2006/picture">
                <pic:pic xmlns:pic="http://schemas.openxmlformats.org/drawingml/2006/picture">
                  <pic:nvPicPr>
                    <pic:cNvPr id="3" name="图片模式5"/>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CEAAAAAgAAAAAAAAAAAAAAAAAAAAgAAAACA//8AAAAAAgAAAACA//9AFwAAEBEAAAAAAAAAAAAAAAAAAA=="/>
                        </a:ext>
                      </a:extLst>
                    </pic:cNvPicPr>
                  </pic:nvPicPr>
                  <pic:blipFill>
                    <a:blip r:embed="rId10" cstate="print"/>
                    <a:stretch>
                      <a:fillRect/>
                    </a:stretch>
                  </pic:blipFill>
                  <pic:spPr>
                    <a:xfrm>
                      <a:off x="0" y="0"/>
                      <a:ext cx="3779520" cy="2773680"/>
                    </a:xfrm>
                    <a:prstGeom prst="rect">
                      <a:avLst/>
                    </a:prstGeom>
                    <a:noFill/>
                    <a:ln w="12700">
                      <a:noFill/>
                    </a:ln>
                  </pic:spPr>
                </pic:pic>
              </a:graphicData>
            </a:graphic>
          </wp:inline>
        </w:drawing>
      </w:r>
    </w:p>
    <w:p w:rsidR="00205446" w:rsidRDefault="008671CD">
      <w:pPr>
        <w:spacing w:before="120"/>
        <w:jc w:val="center"/>
        <w:rPr>
          <w:noProof/>
          <w:sz w:val="18"/>
          <w:szCs w:val="18"/>
        </w:rPr>
      </w:pPr>
      <w:r>
        <w:rPr>
          <w:b/>
          <w:noProof/>
          <w:sz w:val="18"/>
          <w:szCs w:val="18"/>
        </w:rPr>
        <w:t>图</w:t>
      </w:r>
      <w:r>
        <w:rPr>
          <w:b/>
          <w:noProof/>
          <w:sz w:val="18"/>
          <w:szCs w:val="18"/>
        </w:rPr>
        <w:t>3</w:t>
      </w:r>
      <w:r>
        <w:rPr>
          <w:noProof/>
          <w:sz w:val="18"/>
          <w:szCs w:val="18"/>
        </w:rPr>
        <w:t xml:space="preserve"> D19</w:t>
      </w:r>
      <w:r>
        <w:rPr>
          <w:noProof/>
          <w:sz w:val="18"/>
          <w:szCs w:val="18"/>
        </w:rPr>
        <w:t>堆芯的径向功率功率密度分布（燃料棒轴向积分）</w:t>
      </w:r>
    </w:p>
    <w:p w:rsidR="00205446" w:rsidRDefault="008671CD">
      <w:pPr>
        <w:spacing w:after="120"/>
        <w:ind w:firstLine="271"/>
        <w:jc w:val="center"/>
        <w:rPr>
          <w:sz w:val="18"/>
          <w:szCs w:val="18"/>
        </w:rPr>
      </w:pPr>
      <w:r>
        <w:rPr>
          <w:b/>
          <w:sz w:val="18"/>
          <w:szCs w:val="18"/>
        </w:rPr>
        <w:t>Fig. 3</w:t>
      </w:r>
      <w:r>
        <w:rPr>
          <w:sz w:val="18"/>
          <w:szCs w:val="18"/>
        </w:rPr>
        <w:t xml:space="preserve"> Relative radial power distribution of the D19 core (integral in axis direction).</w:t>
      </w:r>
    </w:p>
    <w:p w:rsidR="00205446" w:rsidRDefault="008671CD">
      <w:pPr>
        <w:spacing w:line="360" w:lineRule="auto"/>
        <w:outlineLvl w:val="0"/>
        <w:rPr>
          <w:rFonts w:ascii="黑体" w:eastAsia="黑体" w:hAnsi="黑体"/>
          <w:b/>
          <w:sz w:val="28"/>
          <w:szCs w:val="28"/>
        </w:rPr>
      </w:pPr>
      <w:r>
        <w:rPr>
          <w:rFonts w:eastAsia="黑体"/>
          <w:b/>
          <w:sz w:val="28"/>
          <w:szCs w:val="28"/>
        </w:rPr>
        <w:t>4</w:t>
      </w:r>
      <w:r>
        <w:rPr>
          <w:rFonts w:ascii="黑体" w:eastAsia="黑体" w:hAnsi="黑体"/>
          <w:b/>
          <w:sz w:val="28"/>
          <w:szCs w:val="28"/>
        </w:rPr>
        <w:t xml:space="preserve"> </w:t>
      </w:r>
      <w:r>
        <w:rPr>
          <w:rFonts w:eastAsia="黑体"/>
          <w:b/>
          <w:sz w:val="28"/>
          <w:szCs w:val="28"/>
        </w:rPr>
        <w:t>AP1000</w:t>
      </w:r>
      <w:r>
        <w:rPr>
          <w:rFonts w:eastAsia="黑体"/>
          <w:b/>
          <w:sz w:val="28"/>
          <w:szCs w:val="28"/>
        </w:rPr>
        <w:t>首循环的一种新堆芯方案</w:t>
      </w:r>
    </w:p>
    <w:p w:rsidR="00205446" w:rsidRDefault="008671CD">
      <w:pPr>
        <w:spacing w:line="360" w:lineRule="auto"/>
        <w:outlineLvl w:val="1"/>
        <w:rPr>
          <w:rFonts w:eastAsia="黑体"/>
          <w:b/>
          <w:szCs w:val="21"/>
        </w:rPr>
      </w:pPr>
      <w:r>
        <w:rPr>
          <w:rFonts w:eastAsia="黑体"/>
          <w:b/>
          <w:szCs w:val="21"/>
        </w:rPr>
        <w:t>4.1</w:t>
      </w:r>
      <w:r>
        <w:rPr>
          <w:rFonts w:ascii="黑体" w:eastAsia="黑体" w:hAnsi="黑体"/>
          <w:b/>
          <w:szCs w:val="21"/>
        </w:rPr>
        <w:t xml:space="preserve"> </w:t>
      </w:r>
      <w:r>
        <w:rPr>
          <w:rFonts w:eastAsia="黑体"/>
          <w:b/>
          <w:szCs w:val="21"/>
        </w:rPr>
        <w:t>新堆芯方案的临界模拟与径向功率密度分布计算</w:t>
      </w:r>
    </w:p>
    <w:p w:rsidR="00205446" w:rsidRDefault="008671CD">
      <w:pPr>
        <w:spacing w:line="360" w:lineRule="auto"/>
        <w:ind w:firstLine="420"/>
        <w:rPr>
          <w:szCs w:val="21"/>
        </w:rPr>
      </w:pPr>
      <w:r>
        <w:rPr>
          <w:rFonts w:ascii="宋体" w:hAnsi="宋体"/>
          <w:szCs w:val="21"/>
        </w:rPr>
        <w:t>常见的低泄漏堆芯装载方案一般</w:t>
      </w:r>
      <w:r>
        <w:rPr>
          <w:rFonts w:ascii="宋体" w:hAnsi="宋体" w:hint="eastAsia"/>
          <w:szCs w:val="21"/>
        </w:rPr>
        <w:t>采用</w:t>
      </w:r>
      <w:r>
        <w:rPr>
          <w:rFonts w:ascii="宋体" w:hAnsi="宋体"/>
          <w:szCs w:val="21"/>
        </w:rPr>
        <w:t>四种富集度的燃料组件</w:t>
      </w:r>
      <w:r>
        <w:rPr>
          <w:rFonts w:ascii="宋体" w:hAnsi="宋体" w:hint="eastAsia"/>
          <w:szCs w:val="21"/>
        </w:rPr>
        <w:t>：</w:t>
      </w:r>
      <w:r>
        <w:rPr>
          <w:rFonts w:ascii="宋体" w:hAnsi="宋体"/>
          <w:szCs w:val="21"/>
        </w:rPr>
        <w:t>富集度最低的燃料组件布置在堆芯边缘</w:t>
      </w:r>
      <w:r>
        <w:rPr>
          <w:rFonts w:ascii="宋体" w:hAnsi="宋体" w:hint="eastAsia"/>
          <w:szCs w:val="21"/>
        </w:rPr>
        <w:t>，</w:t>
      </w:r>
      <w:r>
        <w:rPr>
          <w:rFonts w:ascii="宋体" w:hAnsi="宋体"/>
          <w:szCs w:val="21"/>
        </w:rPr>
        <w:t>富集度最高的燃料组件布置在靠近堆芯边缘的地方</w:t>
      </w:r>
      <w:r>
        <w:rPr>
          <w:rFonts w:ascii="宋体" w:hAnsi="宋体" w:hint="eastAsia"/>
          <w:szCs w:val="21"/>
        </w:rPr>
        <w:t>，</w:t>
      </w:r>
      <w:r>
        <w:rPr>
          <w:rFonts w:ascii="宋体" w:hAnsi="宋体"/>
          <w:szCs w:val="21"/>
        </w:rPr>
        <w:t>而其余两种富集度的燃料组件交替排布在堆芯中部</w:t>
      </w:r>
      <w:r>
        <w:rPr>
          <w:rFonts w:ascii="宋体" w:hAnsi="宋体" w:hint="eastAsia"/>
          <w:szCs w:val="21"/>
        </w:rPr>
        <w:t>。</w:t>
      </w:r>
      <w:r>
        <w:rPr>
          <w:rFonts w:ascii="宋体" w:hAnsi="宋体"/>
          <w:szCs w:val="21"/>
        </w:rPr>
        <w:t>这样做的目的是既保证堆芯焓升热管因子与功率峰因子不超设计限值</w:t>
      </w:r>
      <w:r>
        <w:rPr>
          <w:rFonts w:ascii="宋体" w:hAnsi="宋体" w:hint="eastAsia"/>
          <w:szCs w:val="21"/>
        </w:rPr>
        <w:t>，</w:t>
      </w:r>
      <w:r>
        <w:rPr>
          <w:rFonts w:ascii="宋体" w:hAnsi="宋体"/>
          <w:szCs w:val="21"/>
        </w:rPr>
        <w:t>满足核设计准则</w:t>
      </w:r>
      <w:r>
        <w:rPr>
          <w:rFonts w:ascii="宋体" w:hAnsi="宋体" w:hint="eastAsia"/>
          <w:szCs w:val="21"/>
        </w:rPr>
        <w:t>，同时</w:t>
      </w:r>
      <w:r>
        <w:rPr>
          <w:rFonts w:ascii="宋体" w:hAnsi="宋体"/>
          <w:szCs w:val="21"/>
        </w:rPr>
        <w:t>在一定程度上提高了中子经济性</w:t>
      </w:r>
      <w:r>
        <w:rPr>
          <w:rFonts w:ascii="宋体" w:hAnsi="宋体" w:hint="eastAsia"/>
          <w:szCs w:val="21"/>
        </w:rPr>
        <w:t>，</w:t>
      </w:r>
      <w:r>
        <w:rPr>
          <w:rFonts w:ascii="宋体" w:hAnsi="宋体"/>
          <w:szCs w:val="21"/>
        </w:rPr>
        <w:t>还降低了压力容器处的快中子注量</w:t>
      </w:r>
      <w:r>
        <w:rPr>
          <w:rFonts w:ascii="宋体" w:hAnsi="宋体" w:hint="eastAsia"/>
          <w:szCs w:val="21"/>
        </w:rPr>
        <w:t>。</w:t>
      </w:r>
      <w:r>
        <w:rPr>
          <w:rFonts w:ascii="宋体" w:hAnsi="宋体"/>
          <w:szCs w:val="21"/>
        </w:rPr>
        <w:t>对于</w:t>
      </w:r>
      <w:r>
        <w:rPr>
          <w:szCs w:val="21"/>
        </w:rPr>
        <w:t>AP1000</w:t>
      </w:r>
      <w:r>
        <w:rPr>
          <w:szCs w:val="21"/>
        </w:rPr>
        <w:t>堆芯</w:t>
      </w:r>
      <w:r>
        <w:rPr>
          <w:rFonts w:ascii="宋体" w:hAnsi="宋体" w:hint="eastAsia"/>
          <w:szCs w:val="21"/>
        </w:rPr>
        <w:t>，考虑一种更加简单的低泄漏装载方案，即像</w:t>
      </w:r>
      <w:r>
        <w:rPr>
          <w:szCs w:val="21"/>
        </w:rPr>
        <w:t>D19</w:t>
      </w:r>
      <w:r>
        <w:rPr>
          <w:rFonts w:ascii="宋体" w:hAnsi="宋体"/>
          <w:szCs w:val="21"/>
        </w:rPr>
        <w:t>一样</w:t>
      </w:r>
      <w:r>
        <w:rPr>
          <w:rFonts w:ascii="宋体" w:hAnsi="宋体" w:hint="eastAsia"/>
          <w:szCs w:val="21"/>
        </w:rPr>
        <w:t>使用三种富集度的燃料组件，而装载方案依照上述低泄漏布置的思路进行，如图</w:t>
      </w:r>
      <w:r>
        <w:rPr>
          <w:rFonts w:ascii="宋体" w:hAnsi="宋体" w:hint="eastAsia"/>
          <w:szCs w:val="21"/>
        </w:rPr>
        <w:t>4</w:t>
      </w:r>
      <w:r>
        <w:rPr>
          <w:rFonts w:ascii="宋体" w:hAnsi="宋体" w:hint="eastAsia"/>
          <w:szCs w:val="21"/>
        </w:rPr>
        <w:t>所示。为了保持堆芯</w:t>
      </w:r>
      <w:r>
        <w:rPr>
          <w:szCs w:val="21"/>
        </w:rPr>
        <w:t>18</w:t>
      </w:r>
      <w:r>
        <w:rPr>
          <w:rFonts w:ascii="宋体" w:hAnsi="宋体" w:hint="eastAsia"/>
          <w:szCs w:val="21"/>
        </w:rPr>
        <w:t>个月换料，新堆芯的剩余反应性不应该小于</w:t>
      </w:r>
      <w:r>
        <w:rPr>
          <w:szCs w:val="21"/>
        </w:rPr>
        <w:t>D19</w:t>
      </w:r>
      <w:r>
        <w:rPr>
          <w:rFonts w:ascii="宋体" w:hAnsi="宋体" w:hint="eastAsia"/>
          <w:szCs w:val="21"/>
        </w:rPr>
        <w:t>堆芯（</w:t>
      </w:r>
      <w:r>
        <w:rPr>
          <w:i/>
          <w:sz w:val="24"/>
          <w:szCs w:val="24"/>
        </w:rPr>
        <w:t>k</w:t>
      </w:r>
      <w:r>
        <w:rPr>
          <w:i/>
          <w:sz w:val="24"/>
          <w:szCs w:val="24"/>
          <w:vertAlign w:val="subscript"/>
        </w:rPr>
        <w:t xml:space="preserve">eff </w:t>
      </w:r>
      <w:r>
        <w:rPr>
          <w:sz w:val="24"/>
          <w:szCs w:val="24"/>
        </w:rPr>
        <w:t>=1.329</w:t>
      </w:r>
      <w:r>
        <w:rPr>
          <w:rFonts w:ascii="宋体" w:hAnsi="宋体" w:hint="eastAsia"/>
          <w:szCs w:val="21"/>
        </w:rPr>
        <w:t>），最终的燃料富集度相较</w:t>
      </w:r>
      <w:r>
        <w:rPr>
          <w:szCs w:val="21"/>
        </w:rPr>
        <w:t>D19</w:t>
      </w:r>
      <w:r>
        <w:rPr>
          <w:szCs w:val="21"/>
        </w:rPr>
        <w:t>减少</w:t>
      </w:r>
      <w:r>
        <w:rPr>
          <w:szCs w:val="21"/>
        </w:rPr>
        <w:t xml:space="preserve">10.3%, </w:t>
      </w:r>
      <w:r>
        <w:rPr>
          <w:szCs w:val="21"/>
        </w:rPr>
        <w:t>三种燃料富集度的数据如图</w:t>
      </w:r>
      <w:r>
        <w:rPr>
          <w:szCs w:val="21"/>
        </w:rPr>
        <w:t>4</w:t>
      </w:r>
      <w:r>
        <w:rPr>
          <w:szCs w:val="21"/>
        </w:rPr>
        <w:t>所示。</w:t>
      </w:r>
    </w:p>
    <w:p w:rsidR="00205446" w:rsidRDefault="008671CD">
      <w:pPr>
        <w:spacing w:line="360" w:lineRule="auto"/>
        <w:jc w:val="center"/>
        <w:rPr>
          <w:szCs w:val="21"/>
        </w:rPr>
      </w:pPr>
      <w:r>
        <w:rPr>
          <w:noProof/>
        </w:rPr>
        <w:lastRenderedPageBreak/>
        <w:drawing>
          <wp:inline distT="0" distB="0" distL="114300" distR="114300">
            <wp:extent cx="3496945" cy="2697480"/>
            <wp:effectExtent l="0" t="0" r="0" b="0"/>
            <wp:docPr id="4" name="图片模式6"/>
            <wp:cNvGraphicFramePr/>
            <a:graphic xmlns:a="http://schemas.openxmlformats.org/drawingml/2006/main">
              <a:graphicData uri="http://schemas.openxmlformats.org/drawingml/2006/picture">
                <pic:pic xmlns:pic="http://schemas.openxmlformats.org/drawingml/2006/picture">
                  <pic:nvPicPr>
                    <pic:cNvPr id="4" name="图片模式6"/>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CcAAAAAgAAAAAAAAAAAAAAAAAAAAgAAAACA//8AAAAAAgAAAACA//+DFQAAmBAAAAAAAAAAAAAAAAAAAA=="/>
                        </a:ext>
                      </a:extLst>
                    </pic:cNvPicPr>
                  </pic:nvPicPr>
                  <pic:blipFill>
                    <a:blip r:embed="rId11" cstate="print"/>
                    <a:stretch>
                      <a:fillRect/>
                    </a:stretch>
                  </pic:blipFill>
                  <pic:spPr>
                    <a:xfrm>
                      <a:off x="0" y="0"/>
                      <a:ext cx="3496945" cy="2697480"/>
                    </a:xfrm>
                    <a:prstGeom prst="rect">
                      <a:avLst/>
                    </a:prstGeom>
                    <a:noFill/>
                    <a:ln w="12700">
                      <a:noFill/>
                    </a:ln>
                  </pic:spPr>
                </pic:pic>
              </a:graphicData>
            </a:graphic>
          </wp:inline>
        </w:drawing>
      </w:r>
    </w:p>
    <w:p w:rsidR="00205446" w:rsidRDefault="008671CD">
      <w:pPr>
        <w:ind w:firstLine="361"/>
        <w:jc w:val="center"/>
        <w:rPr>
          <w:sz w:val="18"/>
          <w:szCs w:val="18"/>
        </w:rPr>
      </w:pPr>
      <w:r>
        <w:rPr>
          <w:b/>
          <w:sz w:val="18"/>
          <w:szCs w:val="18"/>
        </w:rPr>
        <w:t>图</w:t>
      </w:r>
      <w:r>
        <w:rPr>
          <w:b/>
          <w:sz w:val="18"/>
          <w:szCs w:val="18"/>
        </w:rPr>
        <w:t>4</w:t>
      </w:r>
      <w:r>
        <w:rPr>
          <w:sz w:val="18"/>
          <w:szCs w:val="18"/>
        </w:rPr>
        <w:t xml:space="preserve"> </w:t>
      </w:r>
      <w:r>
        <w:rPr>
          <w:sz w:val="18"/>
          <w:szCs w:val="18"/>
        </w:rPr>
        <w:t>新堆芯的燃料组件布置（四分之一堆芯）</w:t>
      </w:r>
    </w:p>
    <w:p w:rsidR="00205446" w:rsidRDefault="008671CD">
      <w:pPr>
        <w:spacing w:after="120"/>
        <w:jc w:val="center"/>
        <w:rPr>
          <w:sz w:val="18"/>
          <w:szCs w:val="18"/>
        </w:rPr>
      </w:pPr>
      <w:r>
        <w:rPr>
          <w:b/>
          <w:sz w:val="18"/>
          <w:szCs w:val="18"/>
        </w:rPr>
        <w:t>Fig. 4</w:t>
      </w:r>
      <w:r>
        <w:rPr>
          <w:sz w:val="18"/>
          <w:szCs w:val="18"/>
        </w:rPr>
        <w:t xml:space="preserve"> Fuel assembly arrangement of the new core in quarter-core cyclic symmetry.</w:t>
      </w:r>
    </w:p>
    <w:p w:rsidR="00205446" w:rsidRDefault="008671CD">
      <w:pPr>
        <w:spacing w:after="120" w:line="360" w:lineRule="auto"/>
        <w:ind w:firstLine="420"/>
        <w:rPr>
          <w:szCs w:val="21"/>
        </w:rPr>
      </w:pPr>
      <w:r>
        <w:rPr>
          <w:szCs w:val="21"/>
        </w:rPr>
        <w:t>与</w:t>
      </w:r>
      <w:r>
        <w:rPr>
          <w:szCs w:val="21"/>
        </w:rPr>
        <w:t>D19</w:t>
      </w:r>
      <w:r>
        <w:rPr>
          <w:szCs w:val="21"/>
        </w:rPr>
        <w:t>堆芯采取的控制策略一样，新堆芯方案也采用</w:t>
      </w:r>
      <w:r>
        <w:rPr>
          <w:szCs w:val="21"/>
        </w:rPr>
        <w:t>IFBAs</w:t>
      </w:r>
      <w:r>
        <w:rPr>
          <w:szCs w:val="21"/>
        </w:rPr>
        <w:t>可燃毒物、</w:t>
      </w:r>
      <w:r>
        <w:rPr>
          <w:szCs w:val="21"/>
        </w:rPr>
        <w:t>Pyrex</w:t>
      </w:r>
      <w:r>
        <w:rPr>
          <w:szCs w:val="21"/>
        </w:rPr>
        <w:t>可燃吸收体和硼酸对堆芯进行控制，但是</w:t>
      </w:r>
      <w:r>
        <w:rPr>
          <w:szCs w:val="21"/>
        </w:rPr>
        <w:t>IFBAs</w:t>
      </w:r>
      <w:r>
        <w:rPr>
          <w:szCs w:val="21"/>
        </w:rPr>
        <w:t>可燃毒物和</w:t>
      </w:r>
      <w:r>
        <w:rPr>
          <w:szCs w:val="21"/>
        </w:rPr>
        <w:t>Pyrex</w:t>
      </w:r>
      <w:r>
        <w:rPr>
          <w:szCs w:val="21"/>
        </w:rPr>
        <w:t>可燃吸收体</w:t>
      </w:r>
      <w:r>
        <w:rPr>
          <w:sz w:val="24"/>
          <w:szCs w:val="24"/>
        </w:rPr>
        <w:t>（</w:t>
      </w:r>
      <w:r>
        <w:rPr>
          <w:sz w:val="24"/>
          <w:szCs w:val="24"/>
        </w:rPr>
        <w:t xml:space="preserve">4.10 mg/cm </w:t>
      </w:r>
      <w:r>
        <w:rPr>
          <w:sz w:val="24"/>
          <w:szCs w:val="24"/>
          <w:vertAlign w:val="superscript"/>
        </w:rPr>
        <w:t>10</w:t>
      </w:r>
      <w:r>
        <w:rPr>
          <w:sz w:val="24"/>
          <w:szCs w:val="24"/>
        </w:rPr>
        <w:t>B</w:t>
      </w:r>
      <w:r>
        <w:rPr>
          <w:sz w:val="24"/>
          <w:szCs w:val="24"/>
        </w:rPr>
        <w:t>）分</w:t>
      </w:r>
      <w:r>
        <w:rPr>
          <w:szCs w:val="21"/>
        </w:rPr>
        <w:t>别为</w:t>
      </w:r>
      <w:r>
        <w:rPr>
          <w:szCs w:val="21"/>
        </w:rPr>
        <w:t>10044</w:t>
      </w:r>
      <w:r>
        <w:rPr>
          <w:szCs w:val="21"/>
        </w:rPr>
        <w:t>根和</w:t>
      </w:r>
      <w:r>
        <w:rPr>
          <w:szCs w:val="21"/>
        </w:rPr>
        <w:t>1632</w:t>
      </w:r>
      <w:r>
        <w:rPr>
          <w:szCs w:val="21"/>
        </w:rPr>
        <w:t>根。在热态满功率、无氙、控制棒全提的状态下，临界硼浓度为</w:t>
      </w:r>
      <w:r>
        <w:rPr>
          <w:szCs w:val="21"/>
        </w:rPr>
        <w:t>1250ppm.</w:t>
      </w:r>
    </w:p>
    <w:p w:rsidR="00205446" w:rsidRDefault="008671CD">
      <w:pPr>
        <w:spacing w:line="360" w:lineRule="auto"/>
        <w:ind w:firstLine="420"/>
        <w:jc w:val="center"/>
        <w:rPr>
          <w:noProof/>
        </w:rPr>
      </w:pPr>
      <w:r>
        <w:rPr>
          <w:noProof/>
        </w:rPr>
        <w:drawing>
          <wp:inline distT="0" distB="0" distL="114300" distR="114300">
            <wp:extent cx="3771900" cy="2773680"/>
            <wp:effectExtent l="0" t="0" r="0" b="0"/>
            <wp:docPr id="5" name="图片模式7"/>
            <wp:cNvGraphicFramePr/>
            <a:graphic xmlns:a="http://schemas.openxmlformats.org/drawingml/2006/main">
              <a:graphicData uri="http://schemas.openxmlformats.org/drawingml/2006/picture">
                <pic:pic xmlns:pic="http://schemas.openxmlformats.org/drawingml/2006/picture">
                  <pic:nvPicPr>
                    <pic:cNvPr id="5" name="图片模式7"/>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CsAAAAAgAAAAAAAAAAAAAAAAAAAAgAAAACA//8AAAAAAgAAAACA//80FwAAEBEAAAAAAAAAAAAAAAAAAA=="/>
                        </a:ext>
                      </a:extLst>
                    </pic:cNvPicPr>
                  </pic:nvPicPr>
                  <pic:blipFill>
                    <a:blip r:embed="rId12" cstate="print"/>
                    <a:stretch>
                      <a:fillRect/>
                    </a:stretch>
                  </pic:blipFill>
                  <pic:spPr>
                    <a:xfrm>
                      <a:off x="0" y="0"/>
                      <a:ext cx="3771900" cy="2773680"/>
                    </a:xfrm>
                    <a:prstGeom prst="rect">
                      <a:avLst/>
                    </a:prstGeom>
                    <a:noFill/>
                    <a:ln w="12700">
                      <a:noFill/>
                    </a:ln>
                  </pic:spPr>
                </pic:pic>
              </a:graphicData>
            </a:graphic>
          </wp:inline>
        </w:drawing>
      </w:r>
    </w:p>
    <w:p w:rsidR="00205446" w:rsidRDefault="008671CD">
      <w:pPr>
        <w:spacing w:before="120"/>
        <w:jc w:val="center"/>
        <w:rPr>
          <w:noProof/>
          <w:sz w:val="18"/>
          <w:szCs w:val="18"/>
        </w:rPr>
      </w:pPr>
      <w:r>
        <w:rPr>
          <w:b/>
          <w:noProof/>
          <w:sz w:val="18"/>
          <w:szCs w:val="18"/>
        </w:rPr>
        <w:t>图</w:t>
      </w:r>
      <w:r>
        <w:rPr>
          <w:b/>
          <w:noProof/>
          <w:sz w:val="18"/>
          <w:szCs w:val="18"/>
        </w:rPr>
        <w:t>5</w:t>
      </w:r>
      <w:r>
        <w:rPr>
          <w:noProof/>
          <w:sz w:val="18"/>
          <w:szCs w:val="18"/>
        </w:rPr>
        <w:t xml:space="preserve"> </w:t>
      </w:r>
      <w:r>
        <w:rPr>
          <w:noProof/>
          <w:sz w:val="18"/>
          <w:szCs w:val="18"/>
        </w:rPr>
        <w:t>新堆芯的径向功率功率密度分布（燃料棒轴向积分）</w:t>
      </w:r>
    </w:p>
    <w:p w:rsidR="00205446" w:rsidRDefault="008671CD">
      <w:pPr>
        <w:spacing w:after="120"/>
        <w:ind w:firstLine="271"/>
        <w:jc w:val="center"/>
        <w:rPr>
          <w:sz w:val="18"/>
          <w:szCs w:val="18"/>
        </w:rPr>
      </w:pPr>
      <w:r>
        <w:rPr>
          <w:b/>
          <w:sz w:val="18"/>
          <w:szCs w:val="18"/>
        </w:rPr>
        <w:t>Fig. 5</w:t>
      </w:r>
      <w:r>
        <w:rPr>
          <w:sz w:val="18"/>
          <w:szCs w:val="18"/>
        </w:rPr>
        <w:t xml:space="preserve"> Relative radial power distribution of the new core (integral in axis direction).</w:t>
      </w:r>
    </w:p>
    <w:p w:rsidR="00205446" w:rsidRDefault="008671CD">
      <w:pPr>
        <w:spacing w:line="360" w:lineRule="auto"/>
        <w:ind w:firstLine="420"/>
        <w:rPr>
          <w:szCs w:val="21"/>
        </w:rPr>
      </w:pPr>
      <w:r>
        <w:rPr>
          <w:szCs w:val="21"/>
        </w:rPr>
        <w:t>新堆芯的径向功率密度分布（燃料棒轴向积分）见图</w:t>
      </w:r>
      <w:r>
        <w:rPr>
          <w:szCs w:val="21"/>
        </w:rPr>
        <w:t xml:space="preserve">5. </w:t>
      </w:r>
      <w:r>
        <w:rPr>
          <w:szCs w:val="21"/>
        </w:rPr>
        <w:t>与</w:t>
      </w:r>
      <w:r>
        <w:rPr>
          <w:szCs w:val="21"/>
        </w:rPr>
        <w:t>D19</w:t>
      </w:r>
      <w:r>
        <w:rPr>
          <w:szCs w:val="21"/>
        </w:rPr>
        <w:t>堆芯类似，新堆芯中部的功率密度较高，而堆芯边缘部分的功率密度较低。但是与</w:t>
      </w:r>
      <w:r>
        <w:rPr>
          <w:szCs w:val="21"/>
        </w:rPr>
        <w:t>D19</w:t>
      </w:r>
      <w:r>
        <w:rPr>
          <w:szCs w:val="21"/>
        </w:rPr>
        <w:t>堆芯相比，由于部分富集度最高的燃料组件移到了靠近堆芯中部的区域，造成此区域的功率密度更高，而堆芯边缘区域由于布置了富集度最小的燃料组件，功率密度更低，中子通量密度更小，到达压力容器的中子数也更少，因而减小了压力容器的中子注量率。</w:t>
      </w:r>
    </w:p>
    <w:p w:rsidR="00205446" w:rsidRDefault="008671CD">
      <w:pPr>
        <w:spacing w:line="360" w:lineRule="auto"/>
        <w:jc w:val="left"/>
        <w:outlineLvl w:val="1"/>
        <w:rPr>
          <w:rFonts w:eastAsia="黑体"/>
          <w:b/>
          <w:szCs w:val="21"/>
        </w:rPr>
      </w:pPr>
      <w:r>
        <w:rPr>
          <w:rFonts w:eastAsia="黑体"/>
          <w:b/>
          <w:szCs w:val="21"/>
        </w:rPr>
        <w:lastRenderedPageBreak/>
        <w:t>4.2</w:t>
      </w:r>
      <w:r>
        <w:rPr>
          <w:rFonts w:ascii="黑体" w:eastAsia="黑体" w:hAnsi="黑体"/>
          <w:b/>
          <w:szCs w:val="21"/>
        </w:rPr>
        <w:t xml:space="preserve"> </w:t>
      </w:r>
      <w:r>
        <w:rPr>
          <w:rFonts w:ascii="黑体" w:eastAsia="黑体" w:hAnsi="黑体"/>
          <w:b/>
          <w:szCs w:val="21"/>
        </w:rPr>
        <w:t>新堆芯与</w:t>
      </w:r>
      <w:r>
        <w:rPr>
          <w:rFonts w:eastAsia="黑体"/>
          <w:b/>
          <w:szCs w:val="21"/>
        </w:rPr>
        <w:t>D19</w:t>
      </w:r>
      <w:r>
        <w:rPr>
          <w:rFonts w:eastAsia="黑体"/>
          <w:b/>
          <w:szCs w:val="21"/>
        </w:rPr>
        <w:t>堆芯主要物理参数的模拟与比较</w:t>
      </w:r>
    </w:p>
    <w:p w:rsidR="00205446" w:rsidRDefault="008671CD">
      <w:pPr>
        <w:spacing w:after="120" w:line="360" w:lineRule="auto"/>
        <w:ind w:firstLine="420"/>
        <w:rPr>
          <w:sz w:val="24"/>
          <w:szCs w:val="24"/>
        </w:rPr>
      </w:pPr>
      <w:r>
        <w:rPr>
          <w:szCs w:val="21"/>
        </w:rPr>
        <w:t>对于一个新的堆芯设计，需要严格满足核设计标准。</w:t>
      </w:r>
      <w:r>
        <w:rPr>
          <w:szCs w:val="21"/>
        </w:rPr>
        <w:t>AP1000</w:t>
      </w:r>
      <w:r>
        <w:rPr>
          <w:szCs w:val="21"/>
        </w:rPr>
        <w:t>堆芯主要的核设计限值</w:t>
      </w:r>
      <w:r>
        <w:rPr>
          <w:szCs w:val="21"/>
          <w:vertAlign w:val="superscript"/>
        </w:rPr>
        <w:t>[8]</w:t>
      </w:r>
      <w:r>
        <w:rPr>
          <w:szCs w:val="21"/>
        </w:rPr>
        <w:t>列于表</w:t>
      </w:r>
      <w:r>
        <w:rPr>
          <w:szCs w:val="21"/>
        </w:rPr>
        <w:t>3</w:t>
      </w:r>
      <w:r>
        <w:rPr>
          <w:szCs w:val="21"/>
        </w:rPr>
        <w:t>；同时，表</w:t>
      </w:r>
      <w:r>
        <w:rPr>
          <w:szCs w:val="21"/>
        </w:rPr>
        <w:t>3</w:t>
      </w:r>
      <w:r>
        <w:rPr>
          <w:szCs w:val="21"/>
        </w:rPr>
        <w:t>还列出了首循环新堆芯与</w:t>
      </w:r>
      <w:r>
        <w:rPr>
          <w:szCs w:val="21"/>
        </w:rPr>
        <w:t>D19</w:t>
      </w:r>
      <w:r>
        <w:rPr>
          <w:szCs w:val="21"/>
        </w:rPr>
        <w:t>堆芯在热态满功率、无氙、控制棒全提状态下的模拟结果。</w:t>
      </w:r>
    </w:p>
    <w:p w:rsidR="00205446" w:rsidRDefault="008671CD">
      <w:pPr>
        <w:jc w:val="center"/>
        <w:rPr>
          <w:b/>
          <w:sz w:val="18"/>
          <w:szCs w:val="18"/>
        </w:rPr>
      </w:pPr>
      <w:r>
        <w:rPr>
          <w:b/>
          <w:sz w:val="18"/>
          <w:szCs w:val="18"/>
        </w:rPr>
        <w:t>表</w:t>
      </w:r>
      <w:r>
        <w:rPr>
          <w:b/>
          <w:sz w:val="18"/>
          <w:szCs w:val="18"/>
        </w:rPr>
        <w:t xml:space="preserve"> 3 </w:t>
      </w:r>
      <w:r>
        <w:rPr>
          <w:sz w:val="18"/>
          <w:szCs w:val="18"/>
        </w:rPr>
        <w:t>新堆芯与</w:t>
      </w:r>
      <w:r>
        <w:rPr>
          <w:sz w:val="18"/>
          <w:szCs w:val="18"/>
        </w:rPr>
        <w:t>D19</w:t>
      </w:r>
      <w:r>
        <w:rPr>
          <w:sz w:val="18"/>
          <w:szCs w:val="18"/>
        </w:rPr>
        <w:t>堆芯主要物理参数的模拟结果比较</w:t>
      </w:r>
    </w:p>
    <w:p w:rsidR="00205446" w:rsidRDefault="008671CD">
      <w:pPr>
        <w:spacing w:after="120"/>
        <w:jc w:val="center"/>
        <w:rPr>
          <w:szCs w:val="21"/>
        </w:rPr>
      </w:pPr>
      <w:r>
        <w:rPr>
          <w:b/>
          <w:szCs w:val="21"/>
        </w:rPr>
        <w:t xml:space="preserve">Table 3 </w:t>
      </w:r>
      <w:r>
        <w:rPr>
          <w:rFonts w:eastAsia="黑体"/>
          <w:szCs w:val="21"/>
        </w:rPr>
        <w:t xml:space="preserve">Comparisons of the simulated critical parameters between the </w:t>
      </w:r>
      <w:r>
        <w:rPr>
          <w:szCs w:val="21"/>
        </w:rPr>
        <w:t>D19 core and the new core.</w:t>
      </w:r>
    </w:p>
    <w:tbl>
      <w:tblPr>
        <w:tblW w:w="8296" w:type="dxa"/>
        <w:tblInd w:w="-108" w:type="dxa"/>
        <w:tblCellMar>
          <w:left w:w="10" w:type="dxa"/>
          <w:right w:w="10" w:type="dxa"/>
        </w:tblCellMar>
        <w:tblLook w:val="0000"/>
      </w:tblPr>
      <w:tblGrid>
        <w:gridCol w:w="2694"/>
        <w:gridCol w:w="1867"/>
        <w:gridCol w:w="1867"/>
        <w:gridCol w:w="1868"/>
      </w:tblGrid>
      <w:tr w:rsidR="00205446">
        <w:tblPrEx>
          <w:tblCellMar>
            <w:top w:w="0" w:type="dxa"/>
            <w:bottom w:w="0" w:type="dxa"/>
          </w:tblCellMar>
        </w:tblPrEx>
        <w:trPr>
          <w:trHeight w:val="397"/>
        </w:trPr>
        <w:tc>
          <w:tcPr>
            <w:tcW w:w="2694" w:type="dxa"/>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核设计参数（单位）</w:t>
            </w:r>
          </w:p>
        </w:tc>
        <w:tc>
          <w:tcPr>
            <w:tcW w:w="1867" w:type="dxa"/>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设计限值</w:t>
            </w:r>
          </w:p>
        </w:tc>
        <w:tc>
          <w:tcPr>
            <w:tcW w:w="1867" w:type="dxa"/>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D19</w:t>
            </w:r>
            <w:r>
              <w:rPr>
                <w:szCs w:val="21"/>
              </w:rPr>
              <w:t>堆芯</w:t>
            </w:r>
          </w:p>
        </w:tc>
        <w:tc>
          <w:tcPr>
            <w:tcW w:w="1868" w:type="dxa"/>
            <w:tcBorders>
              <w:top w:val="single" w:sz="12" w:space="0" w:color="000000"/>
              <w:left w:val="none" w:sz="0" w:space="0" w:color="000000"/>
              <w:bottom w:val="single" w:sz="4"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新堆芯</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b/>
                <w:szCs w:val="21"/>
              </w:rPr>
            </w:pPr>
            <w:r>
              <w:rPr>
                <w:szCs w:val="21"/>
              </w:rPr>
              <w:t>核焓升热管因子</w:t>
            </w:r>
            <w:r>
              <w:rPr>
                <w:noProof/>
              </w:rPr>
              <w:drawing>
                <wp:inline distT="0" distB="0" distL="114300" distR="114300">
                  <wp:extent cx="205740" cy="198120"/>
                  <wp:effectExtent l="0" t="0" r="0" b="0"/>
                  <wp:docPr id="6" name="图片模式8"/>
                  <wp:cNvGraphicFramePr/>
                  <a:graphic xmlns:a="http://schemas.openxmlformats.org/drawingml/2006/main">
                    <a:graphicData uri="http://schemas.openxmlformats.org/drawingml/2006/picture">
                      <pic:pic xmlns:pic="http://schemas.openxmlformats.org/drawingml/2006/picture">
                        <pic:nvPicPr>
                          <pic:cNvPr id="6" name="图片模式8"/>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MAAAAAgAAAAAAAAAIAAAAAAAAAAgAAAACA//8AAAAAAgAAAACA//9EAQAAOAEAAAAAAAAAAAAAAAAAAA=="/>
                              </a:ext>
                            </a:extLst>
                          </pic:cNvPicPr>
                        </pic:nvPicPr>
                        <pic:blipFill>
                          <a:blip r:embed="rId9" cstate="print">
                            <a:clrChange>
                              <a:clrFrom>
                                <a:srgbClr val="FFFFFF"/>
                              </a:clrFrom>
                              <a:clrTo>
                                <a:srgbClr val="FFFFFF">
                                  <a:alpha val="0"/>
                                </a:srgbClr>
                              </a:clrTo>
                            </a:clrChange>
                          </a:blip>
                          <a:stretch>
                            <a:fillRect/>
                          </a:stretch>
                        </pic:blipFill>
                        <pic:spPr>
                          <a:xfrm>
                            <a:off x="0" y="0"/>
                            <a:ext cx="205740" cy="198120"/>
                          </a:xfrm>
                          <a:prstGeom prst="rect">
                            <a:avLst/>
                          </a:prstGeom>
                          <a:noFill/>
                          <a:ln w="12700">
                            <a:noFill/>
                          </a:ln>
                        </pic:spPr>
                      </pic:pic>
                    </a:graphicData>
                  </a:graphic>
                </wp:inline>
              </w:drawing>
            </w:r>
            <w:r>
              <w:rPr>
                <w:noProof/>
              </w:rPr>
              <w:drawing>
                <wp:inline distT="0" distB="0" distL="114300" distR="114300">
                  <wp:extent cx="205740" cy="198120"/>
                  <wp:effectExtent l="0" t="0" r="0" b="0"/>
                  <wp:docPr id="7" name="图片模式9"/>
                  <wp:cNvGraphicFramePr/>
                  <a:graphic xmlns:a="http://schemas.openxmlformats.org/drawingml/2006/main">
                    <a:graphicData uri="http://schemas.openxmlformats.org/drawingml/2006/picture">
                      <pic:pic xmlns:pic="http://schemas.openxmlformats.org/drawingml/2006/picture">
                        <pic:nvPicPr>
                          <pic:cNvPr id="7" name="图片模式9"/>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MAAAAAgAAAAAAAAAIAAAAAAAAAAgAAAACA//8AAAAAAgAAAACA//9EAQAAOAEAAAAAAAAAAAAAAAAAAA=="/>
                              </a:ext>
                            </a:extLst>
                          </pic:cNvPicPr>
                        </pic:nvPicPr>
                        <pic:blipFill>
                          <a:blip r:embed="rId9" cstate="print">
                            <a:clrChange>
                              <a:clrFrom>
                                <a:srgbClr val="FFFFFF"/>
                              </a:clrFrom>
                              <a:clrTo>
                                <a:srgbClr val="FFFFFF">
                                  <a:alpha val="0"/>
                                </a:srgbClr>
                              </a:clrTo>
                            </a:clrChange>
                          </a:blip>
                          <a:stretch>
                            <a:fillRect/>
                          </a:stretch>
                        </pic:blipFill>
                        <pic:spPr>
                          <a:xfrm>
                            <a:off x="0" y="0"/>
                            <a:ext cx="205740" cy="198120"/>
                          </a:xfrm>
                          <a:prstGeom prst="rect">
                            <a:avLst/>
                          </a:prstGeom>
                          <a:noFill/>
                          <a:ln w="12700">
                            <a:noFill/>
                          </a:ln>
                        </pic:spPr>
                      </pic:pic>
                    </a:graphicData>
                  </a:graphic>
                </wp:inline>
              </w:drawing>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rFonts w:ascii="宋体" w:hAnsi="宋体"/>
                <w:szCs w:val="21"/>
              </w:rPr>
              <w:t>≤</w:t>
            </w:r>
            <w:r>
              <w:rPr>
                <w:rFonts w:eastAsia="方正舒体"/>
                <w:szCs w:val="21"/>
              </w:rPr>
              <w:t xml:space="preserve"> 1.65</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 xml:space="preserve">1.467 </w:t>
            </w:r>
            <w:r>
              <w:rPr>
                <w:szCs w:val="21"/>
                <w:vertAlign w:val="superscript"/>
              </w:rPr>
              <w:t>a</w:t>
            </w:r>
          </w:p>
        </w:tc>
        <w:tc>
          <w:tcPr>
            <w:tcW w:w="18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 xml:space="preserve">1.494 </w:t>
            </w:r>
            <w:r>
              <w:rPr>
                <w:szCs w:val="21"/>
                <w:vertAlign w:val="superscript"/>
              </w:rPr>
              <w:t>a</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i/>
                <w:szCs w:val="21"/>
              </w:rPr>
            </w:pPr>
            <w:r>
              <w:rPr>
                <w:szCs w:val="21"/>
              </w:rPr>
              <w:t>热点因子</w:t>
            </w:r>
            <w:r>
              <w:rPr>
                <w:i/>
                <w:szCs w:val="21"/>
              </w:rPr>
              <w:t>F</w:t>
            </w:r>
            <w:r>
              <w:rPr>
                <w:i/>
                <w:szCs w:val="21"/>
                <w:vertAlign w:val="subscript"/>
              </w:rPr>
              <w:t>Q</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rFonts w:eastAsia="方正舒体"/>
                <w:szCs w:val="21"/>
              </w:rPr>
            </w:pPr>
            <w:r>
              <w:rPr>
                <w:rFonts w:ascii="宋体" w:hAnsi="宋体"/>
                <w:szCs w:val="21"/>
              </w:rPr>
              <w:t>≤</w:t>
            </w:r>
            <w:r>
              <w:rPr>
                <w:rFonts w:eastAsia="方正舒体"/>
                <w:szCs w:val="21"/>
              </w:rPr>
              <w:t xml:space="preserve"> 2.60</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 xml:space="preserve">1.863 </w:t>
            </w:r>
            <w:r>
              <w:rPr>
                <w:szCs w:val="21"/>
                <w:vertAlign w:val="superscript"/>
              </w:rPr>
              <w:t>b</w:t>
            </w:r>
          </w:p>
        </w:tc>
        <w:tc>
          <w:tcPr>
            <w:tcW w:w="18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 xml:space="preserve">1.901 </w:t>
            </w:r>
            <w:r>
              <w:rPr>
                <w:szCs w:val="21"/>
                <w:vertAlign w:val="superscript"/>
              </w:rPr>
              <w:t>b</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慢化剂温度系数</w:t>
            </w:r>
            <w:r>
              <w:rPr>
                <w:szCs w:val="21"/>
              </w:rPr>
              <w:t xml:space="preserve"> (pcm/K)</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-72 to 0</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-16.0</w:t>
            </w:r>
          </w:p>
        </w:tc>
        <w:tc>
          <w:tcPr>
            <w:tcW w:w="18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-12.5</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慢化剂密度系数</w:t>
            </w:r>
            <w:r>
              <w:rPr>
                <w:szCs w:val="21"/>
              </w:rPr>
              <w:t xml:space="preserve"> (</w:t>
            </w:r>
            <w:r>
              <w:rPr>
                <w:rFonts w:ascii="Cambria Math" w:hAnsi="Cambria Math" w:cs="Cambria Math"/>
                <w:szCs w:val="21"/>
              </w:rPr>
              <w:t>△</w:t>
            </w:r>
            <w:r>
              <w:rPr>
                <w:szCs w:val="21"/>
              </w:rPr>
              <w:t>k/g/cm</w:t>
            </w:r>
            <w:r>
              <w:rPr>
                <w:szCs w:val="21"/>
                <w:vertAlign w:val="superscript"/>
              </w:rPr>
              <w:t>3</w:t>
            </w:r>
            <w:r>
              <w:rPr>
                <w:szCs w:val="21"/>
              </w:rPr>
              <w:t>)</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rFonts w:ascii="宋体" w:hAnsi="宋体"/>
                <w:szCs w:val="21"/>
              </w:rPr>
              <w:t>≤</w:t>
            </w:r>
            <w:r>
              <w:rPr>
                <w:rFonts w:eastAsia="方正舒体"/>
                <w:szCs w:val="21"/>
              </w:rPr>
              <w:t xml:space="preserve"> </w:t>
            </w:r>
            <w:r>
              <w:rPr>
                <w:rFonts w:eastAsia="TimesNewRoman"/>
                <w:szCs w:val="21"/>
              </w:rPr>
              <w:t>0.47</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0.077</w:t>
            </w:r>
          </w:p>
        </w:tc>
        <w:tc>
          <w:tcPr>
            <w:tcW w:w="18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0.060</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硼系数</w:t>
            </w:r>
            <w:r>
              <w:rPr>
                <w:szCs w:val="21"/>
              </w:rPr>
              <w:t xml:space="preserve"> (pcm/ppm)</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-13.5 to -5.0</w:t>
            </w:r>
          </w:p>
        </w:tc>
        <w:tc>
          <w:tcPr>
            <w:tcW w:w="18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-9.168</w:t>
            </w:r>
          </w:p>
        </w:tc>
        <w:tc>
          <w:tcPr>
            <w:tcW w:w="18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-8.710</w:t>
            </w:r>
          </w:p>
        </w:tc>
      </w:tr>
      <w:tr w:rsidR="00205446">
        <w:tblPrEx>
          <w:tblCellMar>
            <w:top w:w="0" w:type="dxa"/>
            <w:bottom w:w="0" w:type="dxa"/>
          </w:tblCellMar>
        </w:tblPrEx>
        <w:trPr>
          <w:trHeight w:val="227"/>
        </w:trPr>
        <w:tc>
          <w:tcPr>
            <w:tcW w:w="2694"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热停堆裕量</w:t>
            </w:r>
            <w:r>
              <w:rPr>
                <w:szCs w:val="21"/>
              </w:rPr>
              <w:t xml:space="preserve"> (%</w:t>
            </w:r>
            <w:bookmarkStart w:id="4" w:name="OLE_LINK15"/>
            <w:bookmarkEnd w:id="4"/>
            <w:r>
              <w:rPr>
                <w:rFonts w:ascii="Cambria Math" w:hAnsi="Cambria Math" w:cs="Cambria Math"/>
                <w:szCs w:val="21"/>
              </w:rPr>
              <w:t>△</w:t>
            </w:r>
            <w:r>
              <w:rPr>
                <w:szCs w:val="21"/>
              </w:rPr>
              <w:t>ρ)</w:t>
            </w:r>
          </w:p>
        </w:tc>
        <w:tc>
          <w:tcPr>
            <w:tcW w:w="1867"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rFonts w:ascii="宋体" w:hAnsi="宋体"/>
                <w:szCs w:val="21"/>
              </w:rPr>
              <w:t>≥</w:t>
            </w:r>
            <w:r>
              <w:rPr>
                <w:szCs w:val="21"/>
              </w:rPr>
              <w:t xml:space="preserve"> 1.60</w:t>
            </w:r>
          </w:p>
        </w:tc>
        <w:tc>
          <w:tcPr>
            <w:tcW w:w="1867"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 xml:space="preserve">5.624 </w:t>
            </w:r>
            <w:r>
              <w:rPr>
                <w:szCs w:val="21"/>
                <w:vertAlign w:val="superscript"/>
              </w:rPr>
              <w:t>c</w:t>
            </w:r>
          </w:p>
        </w:tc>
        <w:tc>
          <w:tcPr>
            <w:tcW w:w="1868" w:type="dxa"/>
            <w:tcBorders>
              <w:top w:val="none" w:sz="0" w:space="0" w:color="000000"/>
              <w:left w:val="none" w:sz="0" w:space="0" w:color="000000"/>
              <w:bottom w:val="single" w:sz="12" w:space="0" w:color="000000"/>
              <w:right w:val="none" w:sz="0" w:space="0" w:color="000000"/>
            </w:tcBorders>
            <w:tcMar>
              <w:top w:w="0" w:type="dxa"/>
              <w:left w:w="108" w:type="dxa"/>
              <w:bottom w:w="0" w:type="dxa"/>
              <w:right w:w="108" w:type="dxa"/>
            </w:tcMar>
            <w:vAlign w:val="center"/>
          </w:tcPr>
          <w:p w:rsidR="00205446" w:rsidRDefault="008671CD">
            <w:pPr>
              <w:spacing w:after="120"/>
              <w:jc w:val="center"/>
              <w:rPr>
                <w:szCs w:val="21"/>
              </w:rPr>
            </w:pPr>
            <w:r>
              <w:rPr>
                <w:szCs w:val="21"/>
              </w:rPr>
              <w:t>6.864</w:t>
            </w:r>
            <w:r>
              <w:rPr>
                <w:szCs w:val="21"/>
                <w:vertAlign w:val="superscript"/>
              </w:rPr>
              <w:t xml:space="preserve"> c</w:t>
            </w:r>
          </w:p>
        </w:tc>
      </w:tr>
    </w:tbl>
    <w:p w:rsidR="00205446" w:rsidRDefault="008671CD">
      <w:pPr>
        <w:rPr>
          <w:sz w:val="18"/>
          <w:szCs w:val="18"/>
        </w:rPr>
      </w:pPr>
      <w:r>
        <w:rPr>
          <w:sz w:val="18"/>
          <w:szCs w:val="18"/>
          <w:vertAlign w:val="superscript"/>
        </w:rPr>
        <w:t xml:space="preserve">a </w:t>
      </w:r>
      <w:r>
        <w:rPr>
          <w:sz w:val="18"/>
          <w:szCs w:val="18"/>
        </w:rPr>
        <w:t>考虑了</w:t>
      </w:r>
      <w:r>
        <w:rPr>
          <w:sz w:val="18"/>
          <w:szCs w:val="18"/>
        </w:rPr>
        <w:t>4%</w:t>
      </w:r>
      <w:r>
        <w:rPr>
          <w:sz w:val="18"/>
          <w:szCs w:val="18"/>
        </w:rPr>
        <w:t>的总不确定性。</w:t>
      </w:r>
    </w:p>
    <w:p w:rsidR="00205446" w:rsidRDefault="008671CD">
      <w:pPr>
        <w:rPr>
          <w:sz w:val="18"/>
          <w:szCs w:val="18"/>
        </w:rPr>
      </w:pPr>
      <w:r>
        <w:rPr>
          <w:sz w:val="18"/>
          <w:szCs w:val="18"/>
          <w:vertAlign w:val="superscript"/>
        </w:rPr>
        <w:t xml:space="preserve">b </w:t>
      </w:r>
      <w:r>
        <w:rPr>
          <w:sz w:val="18"/>
          <w:szCs w:val="18"/>
        </w:rPr>
        <w:t>考虑了</w:t>
      </w:r>
      <w:r>
        <w:rPr>
          <w:sz w:val="18"/>
          <w:szCs w:val="18"/>
        </w:rPr>
        <w:t>5%</w:t>
      </w:r>
      <w:r>
        <w:rPr>
          <w:sz w:val="18"/>
          <w:szCs w:val="18"/>
        </w:rPr>
        <w:t>的总不确定性，</w:t>
      </w:r>
      <w:r>
        <w:rPr>
          <w:sz w:val="18"/>
          <w:szCs w:val="18"/>
        </w:rPr>
        <w:t>3%</w:t>
      </w:r>
      <w:r>
        <w:rPr>
          <w:sz w:val="18"/>
          <w:szCs w:val="18"/>
        </w:rPr>
        <w:t>工程热管因子和</w:t>
      </w:r>
      <w:r>
        <w:rPr>
          <w:sz w:val="18"/>
          <w:szCs w:val="18"/>
        </w:rPr>
        <w:t>1.4%</w:t>
      </w:r>
      <w:r>
        <w:rPr>
          <w:sz w:val="18"/>
          <w:szCs w:val="18"/>
        </w:rPr>
        <w:t>的格架影响。</w:t>
      </w:r>
    </w:p>
    <w:p w:rsidR="00205446" w:rsidRDefault="008671CD">
      <w:pPr>
        <w:rPr>
          <w:sz w:val="18"/>
          <w:szCs w:val="18"/>
        </w:rPr>
      </w:pPr>
      <w:r>
        <w:rPr>
          <w:sz w:val="18"/>
          <w:szCs w:val="18"/>
          <w:vertAlign w:val="superscript"/>
        </w:rPr>
        <w:t xml:space="preserve">c </w:t>
      </w:r>
      <w:r>
        <w:rPr>
          <w:sz w:val="18"/>
          <w:szCs w:val="18"/>
        </w:rPr>
        <w:t>考虑了</w:t>
      </w:r>
      <w:r>
        <w:rPr>
          <w:sz w:val="18"/>
          <w:szCs w:val="18"/>
        </w:rPr>
        <w:t>3.9°C</w:t>
      </w:r>
      <w:r>
        <w:rPr>
          <w:sz w:val="18"/>
          <w:szCs w:val="18"/>
        </w:rPr>
        <w:t>的慢化剂温度不确定性，</w:t>
      </w:r>
      <w:r>
        <w:rPr>
          <w:sz w:val="18"/>
          <w:szCs w:val="18"/>
        </w:rPr>
        <w:t>2%</w:t>
      </w:r>
      <w:r>
        <w:rPr>
          <w:rFonts w:ascii="Cambria Math" w:hAnsi="Cambria Math" w:cs="Cambria Math"/>
          <w:sz w:val="18"/>
          <w:szCs w:val="18"/>
        </w:rPr>
        <w:t>△</w:t>
      </w:r>
      <w:r>
        <w:rPr>
          <w:sz w:val="18"/>
          <w:szCs w:val="18"/>
        </w:rPr>
        <w:t>ρ</w:t>
      </w:r>
      <w:r>
        <w:rPr>
          <w:sz w:val="18"/>
          <w:szCs w:val="18"/>
        </w:rPr>
        <w:t>的控制棒允许插入量，</w:t>
      </w:r>
      <w:r>
        <w:rPr>
          <w:sz w:val="18"/>
          <w:szCs w:val="18"/>
        </w:rPr>
        <w:t>7%</w:t>
      </w:r>
      <w:r>
        <w:rPr>
          <w:rFonts w:ascii="Cambria Math" w:hAnsi="Cambria Math" w:cs="Cambria Math"/>
          <w:sz w:val="18"/>
          <w:szCs w:val="18"/>
        </w:rPr>
        <w:t>△</w:t>
      </w:r>
      <w:r>
        <w:rPr>
          <w:sz w:val="18"/>
          <w:szCs w:val="18"/>
        </w:rPr>
        <w:t xml:space="preserve">ρ </w:t>
      </w:r>
      <w:r>
        <w:rPr>
          <w:sz w:val="18"/>
          <w:szCs w:val="18"/>
        </w:rPr>
        <w:t>的控制棒价值不确定性，以及价值最大的一束控制棒组件卡在堆外。</w:t>
      </w:r>
    </w:p>
    <w:p w:rsidR="00205446" w:rsidRDefault="008671CD">
      <w:pPr>
        <w:spacing w:line="360" w:lineRule="auto"/>
        <w:ind w:firstLine="420"/>
        <w:rPr>
          <w:szCs w:val="21"/>
        </w:rPr>
      </w:pPr>
      <w:r>
        <w:rPr>
          <w:szCs w:val="21"/>
        </w:rPr>
        <w:t>从表</w:t>
      </w:r>
      <w:r>
        <w:rPr>
          <w:szCs w:val="21"/>
        </w:rPr>
        <w:t>3</w:t>
      </w:r>
      <w:r>
        <w:rPr>
          <w:szCs w:val="21"/>
        </w:rPr>
        <w:t>可以看出，新堆芯的主要物理参数模拟结果均满足</w:t>
      </w:r>
      <w:r>
        <w:rPr>
          <w:szCs w:val="21"/>
        </w:rPr>
        <w:t>AP1000</w:t>
      </w:r>
      <w:r>
        <w:rPr>
          <w:szCs w:val="21"/>
        </w:rPr>
        <w:t>的设计限值，而其中最重要的两项参数是核焓升热管因子和热点因子。由于将富集度最高的燃料组件放置在靠近堆芯边缘而富集度最低的燃料组件放置在边缘部分，相较</w:t>
      </w:r>
      <w:r>
        <w:rPr>
          <w:szCs w:val="21"/>
        </w:rPr>
        <w:t>D19</w:t>
      </w:r>
      <w:r>
        <w:rPr>
          <w:szCs w:val="21"/>
        </w:rPr>
        <w:t>堆芯，新堆芯的径向功率密度分布更加不均匀，核焓升热管因子与热点因子均有升高。不过考虑到总不确定性，新堆芯的核焓升热管因子与热点因子分别为</w:t>
      </w:r>
      <w:r>
        <w:rPr>
          <w:szCs w:val="21"/>
        </w:rPr>
        <w:t>1.494</w:t>
      </w:r>
      <w:r>
        <w:rPr>
          <w:szCs w:val="21"/>
        </w:rPr>
        <w:t>和</w:t>
      </w:r>
      <w:r>
        <w:rPr>
          <w:szCs w:val="21"/>
        </w:rPr>
        <w:t>1.901</w:t>
      </w:r>
      <w:r>
        <w:rPr>
          <w:szCs w:val="21"/>
        </w:rPr>
        <w:t>，与设计限值相比仍有</w:t>
      </w:r>
      <w:r>
        <w:rPr>
          <w:szCs w:val="21"/>
        </w:rPr>
        <w:t>9.5%</w:t>
      </w:r>
      <w:r>
        <w:rPr>
          <w:szCs w:val="21"/>
        </w:rPr>
        <w:t>和</w:t>
      </w:r>
      <w:r>
        <w:rPr>
          <w:szCs w:val="21"/>
        </w:rPr>
        <w:t>26.9%</w:t>
      </w:r>
      <w:r>
        <w:rPr>
          <w:szCs w:val="21"/>
        </w:rPr>
        <w:t>的裕量，完全满足设计要求。</w:t>
      </w:r>
    </w:p>
    <w:p w:rsidR="00205446" w:rsidRDefault="008671CD">
      <w:pPr>
        <w:jc w:val="left"/>
        <w:outlineLvl w:val="1"/>
        <w:rPr>
          <w:rFonts w:eastAsia="黑体"/>
          <w:b/>
          <w:szCs w:val="21"/>
        </w:rPr>
      </w:pPr>
      <w:r>
        <w:rPr>
          <w:rFonts w:eastAsia="黑体"/>
          <w:b/>
          <w:szCs w:val="21"/>
        </w:rPr>
        <w:t>4.3</w:t>
      </w:r>
      <w:r>
        <w:rPr>
          <w:rFonts w:ascii="黑体" w:eastAsia="黑体" w:hAnsi="黑体"/>
          <w:b/>
          <w:szCs w:val="21"/>
        </w:rPr>
        <w:t xml:space="preserve"> </w:t>
      </w:r>
      <w:r>
        <w:rPr>
          <w:rFonts w:eastAsia="黑体"/>
          <w:b/>
          <w:szCs w:val="21"/>
        </w:rPr>
        <w:t>新堆芯与</w:t>
      </w:r>
      <w:r>
        <w:rPr>
          <w:rFonts w:eastAsia="黑体"/>
          <w:b/>
          <w:szCs w:val="21"/>
        </w:rPr>
        <w:t>D19</w:t>
      </w:r>
      <w:r>
        <w:rPr>
          <w:rFonts w:eastAsia="黑体"/>
          <w:b/>
          <w:szCs w:val="21"/>
        </w:rPr>
        <w:t>堆芯在堆芯吊篮与压力容器处的快中子</w:t>
      </w:r>
      <w:r>
        <w:rPr>
          <w:rFonts w:eastAsia="黑体" w:hint="eastAsia"/>
          <w:b/>
          <w:szCs w:val="21"/>
        </w:rPr>
        <w:t>（</w:t>
      </w:r>
      <w:r>
        <w:rPr>
          <w:b/>
          <w:i/>
          <w:sz w:val="24"/>
          <w:szCs w:val="24"/>
        </w:rPr>
        <w:t>E</w:t>
      </w:r>
      <w:r>
        <w:rPr>
          <w:rFonts w:ascii="宋体" w:hAnsi="宋体"/>
          <w:b/>
          <w:sz w:val="24"/>
          <w:szCs w:val="24"/>
        </w:rPr>
        <w:t>≥</w:t>
      </w:r>
      <w:r>
        <w:rPr>
          <w:b/>
          <w:sz w:val="24"/>
          <w:szCs w:val="24"/>
        </w:rPr>
        <w:t>0.1 MeV</w:t>
      </w:r>
      <w:r>
        <w:rPr>
          <w:rFonts w:eastAsia="黑体" w:hint="eastAsia"/>
          <w:b/>
          <w:szCs w:val="21"/>
        </w:rPr>
        <w:t>）</w:t>
      </w:r>
      <w:r>
        <w:rPr>
          <w:rFonts w:eastAsia="黑体"/>
          <w:b/>
          <w:szCs w:val="21"/>
        </w:rPr>
        <w:t>注量率比较</w:t>
      </w:r>
    </w:p>
    <w:p w:rsidR="00205446" w:rsidRDefault="008671CD">
      <w:pPr>
        <w:spacing w:line="360" w:lineRule="auto"/>
        <w:ind w:firstLine="420"/>
        <w:jc w:val="left"/>
        <w:rPr>
          <w:rFonts w:ascii="宋体" w:hAnsi="宋体"/>
          <w:szCs w:val="21"/>
        </w:rPr>
      </w:pPr>
      <w:r>
        <w:rPr>
          <w:rFonts w:ascii="宋体" w:hAnsi="宋体"/>
          <w:szCs w:val="21"/>
        </w:rPr>
        <w:t>快中子注量的计算公式</w:t>
      </w:r>
      <w:r>
        <w:rPr>
          <w:szCs w:val="21"/>
          <w:vertAlign w:val="superscript"/>
        </w:rPr>
        <w:t>[13]</w:t>
      </w:r>
      <w:r>
        <w:rPr>
          <w:rFonts w:ascii="宋体" w:hAnsi="宋体" w:hint="eastAsia"/>
          <w:szCs w:val="21"/>
        </w:rPr>
        <w:t>为：</w:t>
      </w:r>
    </w:p>
    <w:p w:rsidR="00205446" w:rsidRDefault="008671CD">
      <w:pPr>
        <w:spacing w:after="120"/>
        <w:jc w:val="center"/>
        <w:rPr>
          <w:sz w:val="24"/>
          <w:szCs w:val="24"/>
        </w:rPr>
      </w:pPr>
      <w:r>
        <w:rPr>
          <w:sz w:val="24"/>
          <w:szCs w:val="24"/>
        </w:rPr>
        <w:t xml:space="preserve">           </w:t>
      </w:r>
      <w:r>
        <w:rPr>
          <w:noProof/>
        </w:rPr>
        <w:drawing>
          <wp:inline distT="0" distB="0" distL="114300" distR="114300">
            <wp:extent cx="3116580" cy="396240"/>
            <wp:effectExtent l="0" t="0" r="0" b="0"/>
            <wp:docPr id="8" name="图片模式10"/>
            <wp:cNvGraphicFramePr/>
            <a:graphic xmlns:a="http://schemas.openxmlformats.org/drawingml/2006/main">
              <a:graphicData uri="http://schemas.openxmlformats.org/drawingml/2006/picture">
                <pic:pic xmlns:pic="http://schemas.openxmlformats.org/drawingml/2006/picture">
                  <pic:nvPicPr>
                    <pic:cNvPr id="8" name="图片模式10"/>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oAAAAAgAAAAAAAAAAAAAAAAAAAAgAAAACA//8AAAAAAgAAAACA//8sEwAAcAIAAAAAAAAAAAAAAAAAAA=="/>
                        </a:ext>
                      </a:extLst>
                    </pic:cNvPicPr>
                  </pic:nvPicPr>
                  <pic:blipFill>
                    <a:blip r:embed="rId13" cstate="print">
                      <a:clrChange>
                        <a:clrFrom>
                          <a:srgbClr val="FFFFFF"/>
                        </a:clrFrom>
                        <a:clrTo>
                          <a:srgbClr val="FFFFFF">
                            <a:alpha val="0"/>
                          </a:srgbClr>
                        </a:clrTo>
                      </a:clrChange>
                    </a:blip>
                    <a:stretch>
                      <a:fillRect/>
                    </a:stretch>
                  </pic:blipFill>
                  <pic:spPr>
                    <a:xfrm>
                      <a:off x="0" y="0"/>
                      <a:ext cx="3116580" cy="396240"/>
                    </a:xfrm>
                    <a:prstGeom prst="rect">
                      <a:avLst/>
                    </a:prstGeom>
                    <a:noFill/>
                    <a:ln w="12700">
                      <a:noFill/>
                    </a:ln>
                  </pic:spPr>
                </pic:pic>
              </a:graphicData>
            </a:graphic>
          </wp:inline>
        </w:drawing>
      </w:r>
      <w:r>
        <w:rPr>
          <w:noProof/>
        </w:rPr>
        <w:drawing>
          <wp:inline distT="0" distB="0" distL="114300" distR="114300">
            <wp:extent cx="3116580" cy="396240"/>
            <wp:effectExtent l="0" t="0" r="0" b="0"/>
            <wp:docPr id="9" name="图片模式11"/>
            <wp:cNvGraphicFramePr/>
            <a:graphic xmlns:a="http://schemas.openxmlformats.org/drawingml/2006/main">
              <a:graphicData uri="http://schemas.openxmlformats.org/drawingml/2006/picture">
                <pic:pic xmlns:pic="http://schemas.openxmlformats.org/drawingml/2006/picture">
                  <pic:nvPicPr>
                    <pic:cNvPr id="9" name="图片模式11"/>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oAAAAAgAAAAAAAAAAAAAAAAAAAAgAAAACA//8AAAAAAgAAAACA//8sEwAAcAIAAAAAAAAAAAAAAAAAAA=="/>
                        </a:ext>
                      </a:extLst>
                    </pic:cNvPicPr>
                  </pic:nvPicPr>
                  <pic:blipFill>
                    <a:blip r:embed="rId13" cstate="print">
                      <a:clrChange>
                        <a:clrFrom>
                          <a:srgbClr val="FFFFFF"/>
                        </a:clrFrom>
                        <a:clrTo>
                          <a:srgbClr val="FFFFFF">
                            <a:alpha val="0"/>
                          </a:srgbClr>
                        </a:clrTo>
                      </a:clrChange>
                    </a:blip>
                    <a:stretch>
                      <a:fillRect/>
                    </a:stretch>
                  </pic:blipFill>
                  <pic:spPr>
                    <a:xfrm>
                      <a:off x="0" y="0"/>
                      <a:ext cx="3116580" cy="396240"/>
                    </a:xfrm>
                    <a:prstGeom prst="rect">
                      <a:avLst/>
                    </a:prstGeom>
                    <a:noFill/>
                    <a:ln w="12700">
                      <a:noFill/>
                    </a:ln>
                  </pic:spPr>
                </pic:pic>
              </a:graphicData>
            </a:graphic>
          </wp:inline>
        </w:drawing>
      </w:r>
      <w:r>
        <w:rPr>
          <w:sz w:val="24"/>
          <w:szCs w:val="24"/>
        </w:rPr>
        <w:t xml:space="preserve">              (1)</w:t>
      </w:r>
    </w:p>
    <w:p w:rsidR="00205446" w:rsidRDefault="008671CD">
      <w:pPr>
        <w:spacing w:after="120"/>
        <w:rPr>
          <w:szCs w:val="21"/>
        </w:rPr>
      </w:pPr>
      <w:r>
        <w:rPr>
          <w:szCs w:val="21"/>
        </w:rPr>
        <w:t>其中</w:t>
      </w:r>
      <w:r>
        <w:rPr>
          <w:noProof/>
        </w:rPr>
        <w:drawing>
          <wp:inline distT="0" distB="0" distL="114300" distR="114300">
            <wp:extent cx="281940" cy="198120"/>
            <wp:effectExtent l="0" t="0" r="0" b="0"/>
            <wp:docPr id="10" name="图片模式12"/>
            <wp:cNvGraphicFramePr/>
            <a:graphic xmlns:a="http://schemas.openxmlformats.org/drawingml/2006/main">
              <a:graphicData uri="http://schemas.openxmlformats.org/drawingml/2006/picture">
                <pic:pic xmlns:pic="http://schemas.openxmlformats.org/drawingml/2006/picture">
                  <pic:nvPicPr>
                    <pic:cNvPr id="10" name="图片模式12"/>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sAAAAAgAAAAAAAAAAAAAAAAAAAAgAAAACA//8AAAAAAgAAAACA//+8AQAAOAEAAAAAAAAAAAAAAAAAAA=="/>
                        </a:ext>
                      </a:extLst>
                    </pic:cNvPicPr>
                  </pic:nvPicPr>
                  <pic:blipFill>
                    <a:blip r:embed="rId14" cstate="print">
                      <a:clrChange>
                        <a:clrFrom>
                          <a:srgbClr val="FFFFFF"/>
                        </a:clrFrom>
                        <a:clrTo>
                          <a:srgbClr val="FFFFFF">
                            <a:alpha val="0"/>
                          </a:srgbClr>
                        </a:clrTo>
                      </a:clrChange>
                    </a:blip>
                    <a:stretch>
                      <a:fillRect/>
                    </a:stretch>
                  </pic:blipFill>
                  <pic:spPr>
                    <a:xfrm>
                      <a:off x="0" y="0"/>
                      <a:ext cx="281940" cy="198120"/>
                    </a:xfrm>
                    <a:prstGeom prst="rect">
                      <a:avLst/>
                    </a:prstGeom>
                    <a:noFill/>
                    <a:ln w="12700">
                      <a:noFill/>
                    </a:ln>
                  </pic:spPr>
                </pic:pic>
              </a:graphicData>
            </a:graphic>
          </wp:inline>
        </w:drawing>
      </w:r>
      <w:r>
        <w:rPr>
          <w:noProof/>
        </w:rPr>
        <w:drawing>
          <wp:inline distT="0" distB="0" distL="114300" distR="114300">
            <wp:extent cx="281940" cy="198120"/>
            <wp:effectExtent l="0" t="0" r="0" b="0"/>
            <wp:docPr id="11" name="图片模式13"/>
            <wp:cNvGraphicFramePr/>
            <a:graphic xmlns:a="http://schemas.openxmlformats.org/drawingml/2006/main">
              <a:graphicData uri="http://schemas.openxmlformats.org/drawingml/2006/picture">
                <pic:pic xmlns:pic="http://schemas.openxmlformats.org/drawingml/2006/picture">
                  <pic:nvPicPr>
                    <pic:cNvPr id="11" name="图片模式13"/>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sAAAAAgAAAAAAAAAAAAAAAAAAAAgAAAACA//8AAAAAAgAAAACA//+8AQAAOAEAAAAAAAAAAAAAAAAAAA=="/>
                        </a:ext>
                      </a:extLst>
                    </pic:cNvPicPr>
                  </pic:nvPicPr>
                  <pic:blipFill>
                    <a:blip r:embed="rId14" cstate="print">
                      <a:clrChange>
                        <a:clrFrom>
                          <a:srgbClr val="FFFFFF"/>
                        </a:clrFrom>
                        <a:clrTo>
                          <a:srgbClr val="FFFFFF">
                            <a:alpha val="0"/>
                          </a:srgbClr>
                        </a:clrTo>
                      </a:clrChange>
                    </a:blip>
                    <a:stretch>
                      <a:fillRect/>
                    </a:stretch>
                  </pic:blipFill>
                  <pic:spPr>
                    <a:xfrm>
                      <a:off x="0" y="0"/>
                      <a:ext cx="281940" cy="198120"/>
                    </a:xfrm>
                    <a:prstGeom prst="rect">
                      <a:avLst/>
                    </a:prstGeom>
                    <a:noFill/>
                    <a:ln w="12700">
                      <a:noFill/>
                    </a:ln>
                  </pic:spPr>
                </pic:pic>
              </a:graphicData>
            </a:graphic>
          </wp:inline>
        </w:drawing>
      </w:r>
      <w:r>
        <w:rPr>
          <w:szCs w:val="21"/>
        </w:rPr>
        <w:t xml:space="preserve"> </w:t>
      </w:r>
      <w:r>
        <w:rPr>
          <w:szCs w:val="21"/>
        </w:rPr>
        <w:t>代表在时间</w:t>
      </w:r>
      <w:r>
        <w:rPr>
          <w:rFonts w:ascii="Cambria Math" w:hAnsi="Cambria Math" w:cs="Cambria Math"/>
          <w:szCs w:val="21"/>
        </w:rPr>
        <w:t>0</w:t>
      </w:r>
      <w:r>
        <w:rPr>
          <w:rFonts w:ascii="Cambria Math" w:hAnsi="Cambria Math" w:cs="Cambria Math" w:hint="eastAsia"/>
          <w:szCs w:val="21"/>
        </w:rPr>
        <w:t>-</w:t>
      </w:r>
      <w:r>
        <w:rPr>
          <w:rFonts w:ascii="Cambria Math" w:hAnsi="Cambria Math" w:cs="Cambria Math"/>
          <w:i/>
          <w:szCs w:val="21"/>
        </w:rPr>
        <w:t>T</w:t>
      </w:r>
      <w:r>
        <w:rPr>
          <w:szCs w:val="21"/>
        </w:rPr>
        <w:t>内高于某一能量</w:t>
      </w:r>
      <w:r>
        <w:rPr>
          <w:i/>
          <w:szCs w:val="21"/>
        </w:rPr>
        <w:t>E</w:t>
      </w:r>
      <w:r>
        <w:rPr>
          <w:i/>
          <w:szCs w:val="21"/>
          <w:vertAlign w:val="subscript"/>
        </w:rPr>
        <w:t>0</w:t>
      </w:r>
      <w:r>
        <w:rPr>
          <w:szCs w:val="21"/>
        </w:rPr>
        <w:t xml:space="preserve"> </w:t>
      </w:r>
      <w:r>
        <w:rPr>
          <w:szCs w:val="21"/>
        </w:rPr>
        <w:t>的累积中子注量；</w:t>
      </w:r>
      <w:r>
        <w:rPr>
          <w:noProof/>
        </w:rPr>
        <w:drawing>
          <wp:inline distT="0" distB="0" distL="114300" distR="114300">
            <wp:extent cx="175260" cy="198120"/>
            <wp:effectExtent l="0" t="0" r="0" b="0"/>
            <wp:docPr id="12" name="图片模式14"/>
            <wp:cNvGraphicFramePr/>
            <a:graphic xmlns:a="http://schemas.openxmlformats.org/drawingml/2006/main">
              <a:graphicData uri="http://schemas.openxmlformats.org/drawingml/2006/picture">
                <pic:pic xmlns:pic="http://schemas.openxmlformats.org/drawingml/2006/picture">
                  <pic:nvPicPr>
                    <pic:cNvPr id="12" name="图片模式14"/>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sAAAAAgAAAAAAAAAAAAAAAAAAAAgAAAACA//8AAAAAAgAAAACA//8UAQAAOAEAAAAAAAAAAAAAAAAAAA=="/>
                        </a:ext>
                      </a:extLst>
                    </pic:cNvPicPr>
                  </pic:nvPicPr>
                  <pic:blipFill>
                    <a:blip r:embed="rId15" cstate="print">
                      <a:clrChange>
                        <a:clrFrom>
                          <a:srgbClr val="FFFFFF"/>
                        </a:clrFrom>
                        <a:clrTo>
                          <a:srgbClr val="FFFFFF">
                            <a:alpha val="0"/>
                          </a:srgbClr>
                        </a:clrTo>
                      </a:clrChange>
                    </a:blip>
                    <a:stretch>
                      <a:fillRect/>
                    </a:stretch>
                  </pic:blipFill>
                  <pic:spPr>
                    <a:xfrm>
                      <a:off x="0" y="0"/>
                      <a:ext cx="175260" cy="198120"/>
                    </a:xfrm>
                    <a:prstGeom prst="rect">
                      <a:avLst/>
                    </a:prstGeom>
                    <a:noFill/>
                    <a:ln w="12700">
                      <a:noFill/>
                    </a:ln>
                  </pic:spPr>
                </pic:pic>
              </a:graphicData>
            </a:graphic>
          </wp:inline>
        </w:drawing>
      </w:r>
      <w:r>
        <w:rPr>
          <w:noProof/>
        </w:rPr>
        <w:drawing>
          <wp:inline distT="0" distB="0" distL="114300" distR="114300">
            <wp:extent cx="175260" cy="198120"/>
            <wp:effectExtent l="0" t="0" r="0" b="0"/>
            <wp:docPr id="13" name="图片模式15"/>
            <wp:cNvGraphicFramePr/>
            <a:graphic xmlns:a="http://schemas.openxmlformats.org/drawingml/2006/main">
              <a:graphicData uri="http://schemas.openxmlformats.org/drawingml/2006/picture">
                <pic:pic xmlns:pic="http://schemas.openxmlformats.org/drawingml/2006/picture">
                  <pic:nvPicPr>
                    <pic:cNvPr id="13" name="图片模式15"/>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sAAAAAgAAAAAAAAAAAAAAAAAAAAgAAAACA//8AAAAAAgAAAACA//8UAQAAOAEAAAAAAAAAAAAAAAAAAA=="/>
                        </a:ext>
                      </a:extLst>
                    </pic:cNvPicPr>
                  </pic:nvPicPr>
                  <pic:blipFill>
                    <a:blip r:embed="rId15" cstate="print">
                      <a:clrChange>
                        <a:clrFrom>
                          <a:srgbClr val="FFFFFF"/>
                        </a:clrFrom>
                        <a:clrTo>
                          <a:srgbClr val="FFFFFF">
                            <a:alpha val="0"/>
                          </a:srgbClr>
                        </a:clrTo>
                      </a:clrChange>
                    </a:blip>
                    <a:stretch>
                      <a:fillRect/>
                    </a:stretch>
                  </pic:blipFill>
                  <pic:spPr>
                    <a:xfrm>
                      <a:off x="0" y="0"/>
                      <a:ext cx="175260" cy="198120"/>
                    </a:xfrm>
                    <a:prstGeom prst="rect">
                      <a:avLst/>
                    </a:prstGeom>
                    <a:noFill/>
                    <a:ln w="12700">
                      <a:noFill/>
                    </a:ln>
                  </pic:spPr>
                </pic:pic>
              </a:graphicData>
            </a:graphic>
          </wp:inline>
        </w:drawing>
      </w:r>
      <w:r>
        <w:rPr>
          <w:szCs w:val="21"/>
        </w:rPr>
        <w:t xml:space="preserve"> </w:t>
      </w:r>
      <w:r>
        <w:rPr>
          <w:szCs w:val="21"/>
        </w:rPr>
        <w:t>代表在时间间隔</w:t>
      </w:r>
      <w:r>
        <w:rPr>
          <w:rFonts w:ascii="Cambria Math" w:hAnsi="Cambria Math" w:cs="Cambria Math"/>
          <w:szCs w:val="21"/>
        </w:rPr>
        <w:t>△</w:t>
      </w:r>
      <w:r>
        <w:rPr>
          <w:i/>
          <w:szCs w:val="21"/>
        </w:rPr>
        <w:t>t</w:t>
      </w:r>
      <w:r>
        <w:rPr>
          <w:i/>
          <w:szCs w:val="21"/>
          <w:vertAlign w:val="subscript"/>
        </w:rPr>
        <w:t>k</w:t>
      </w:r>
      <w:r>
        <w:rPr>
          <w:szCs w:val="21"/>
        </w:rPr>
        <w:t xml:space="preserve"> </w:t>
      </w:r>
      <w:r>
        <w:rPr>
          <w:szCs w:val="21"/>
        </w:rPr>
        <w:t>内的平均快中子注量。</w:t>
      </w:r>
    </w:p>
    <w:p w:rsidR="00205446" w:rsidRDefault="008671CD">
      <w:pPr>
        <w:spacing w:after="120" w:line="360" w:lineRule="auto"/>
        <w:ind w:firstLine="420"/>
        <w:rPr>
          <w:szCs w:val="21"/>
        </w:rPr>
      </w:pPr>
      <w:r>
        <w:rPr>
          <w:szCs w:val="21"/>
        </w:rPr>
        <w:t>本文只计算了堆芯处于热态满功率、无氙、控制棒全提状态下堆芯吊篮和压力容器处的中子注量率，而没有考虑在整个堆芯寿期内的累计中子注量。图</w:t>
      </w:r>
      <w:r>
        <w:rPr>
          <w:szCs w:val="21"/>
        </w:rPr>
        <w:t xml:space="preserve">6 </w:t>
      </w:r>
      <w:r>
        <w:rPr>
          <w:szCs w:val="21"/>
        </w:rPr>
        <w:t>是八分之一反应堆的水平截面建模图。</w:t>
      </w:r>
    </w:p>
    <w:p w:rsidR="00205446" w:rsidRDefault="008671CD">
      <w:pPr>
        <w:spacing w:line="360" w:lineRule="auto"/>
        <w:ind w:firstLine="420"/>
        <w:jc w:val="center"/>
        <w:rPr>
          <w:sz w:val="24"/>
          <w:szCs w:val="24"/>
        </w:rPr>
      </w:pPr>
      <w:r>
        <w:rPr>
          <w:noProof/>
        </w:rPr>
        <w:lastRenderedPageBreak/>
        <w:drawing>
          <wp:inline distT="0" distB="0" distL="114300" distR="114300">
            <wp:extent cx="3801745" cy="2773680"/>
            <wp:effectExtent l="0" t="0" r="0" b="0"/>
            <wp:docPr id="14" name="图片模式16"/>
            <wp:cNvGraphicFramePr/>
            <a:graphic xmlns:a="http://schemas.openxmlformats.org/drawingml/2006/main">
              <a:graphicData uri="http://schemas.openxmlformats.org/drawingml/2006/picture">
                <pic:pic xmlns:pic="http://schemas.openxmlformats.org/drawingml/2006/picture">
                  <pic:nvPicPr>
                    <pic:cNvPr id="14" name="图片模式16"/>
                    <pic:cNvPicPr>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ww4Q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HIB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D0AAAAAgAAAAAAAAAAAAAAAAAAAAgAAAACA//8AAAAAAgAAAACA//9jFwAAEBEAAAAAAAAAAAAAAAAAAA=="/>
                        </a:ext>
                      </a:extLst>
                    </pic:cNvPicPr>
                  </pic:nvPicPr>
                  <pic:blipFill>
                    <a:blip r:embed="rId16" cstate="print"/>
                    <a:srcRect t="3700"/>
                    <a:stretch>
                      <a:fillRect/>
                    </a:stretch>
                  </pic:blipFill>
                  <pic:spPr>
                    <a:xfrm>
                      <a:off x="0" y="0"/>
                      <a:ext cx="3801745" cy="2773680"/>
                    </a:xfrm>
                    <a:prstGeom prst="rect">
                      <a:avLst/>
                    </a:prstGeom>
                    <a:noFill/>
                    <a:ln w="12700">
                      <a:noFill/>
                    </a:ln>
                  </pic:spPr>
                </pic:pic>
              </a:graphicData>
            </a:graphic>
          </wp:inline>
        </w:drawing>
      </w:r>
    </w:p>
    <w:p w:rsidR="00205446" w:rsidRDefault="008671CD">
      <w:pPr>
        <w:ind w:firstLine="361"/>
        <w:jc w:val="center"/>
        <w:rPr>
          <w:sz w:val="18"/>
          <w:szCs w:val="18"/>
        </w:rPr>
      </w:pPr>
      <w:r>
        <w:rPr>
          <w:b/>
          <w:sz w:val="18"/>
          <w:szCs w:val="18"/>
        </w:rPr>
        <w:t>图</w:t>
      </w:r>
      <w:r>
        <w:rPr>
          <w:b/>
          <w:sz w:val="18"/>
          <w:szCs w:val="18"/>
        </w:rPr>
        <w:t xml:space="preserve"> 6</w:t>
      </w:r>
      <w:r>
        <w:rPr>
          <w:sz w:val="18"/>
          <w:szCs w:val="18"/>
        </w:rPr>
        <w:t xml:space="preserve"> </w:t>
      </w:r>
      <w:r>
        <w:rPr>
          <w:sz w:val="18"/>
          <w:szCs w:val="18"/>
        </w:rPr>
        <w:t>八分之一对称堆芯的水平切面图。（</w:t>
      </w:r>
      <w:r>
        <w:rPr>
          <w:sz w:val="18"/>
          <w:szCs w:val="18"/>
        </w:rPr>
        <w:t>1</w:t>
      </w:r>
      <w:r>
        <w:rPr>
          <w:sz w:val="18"/>
          <w:szCs w:val="18"/>
        </w:rPr>
        <w:t>）燃料组件区域；（</w:t>
      </w:r>
      <w:r>
        <w:rPr>
          <w:sz w:val="18"/>
          <w:szCs w:val="18"/>
        </w:rPr>
        <w:t>2</w:t>
      </w:r>
      <w:r>
        <w:rPr>
          <w:sz w:val="18"/>
          <w:szCs w:val="18"/>
        </w:rPr>
        <w:t>）堆芯围筒；（</w:t>
      </w:r>
      <w:r>
        <w:rPr>
          <w:sz w:val="18"/>
          <w:szCs w:val="18"/>
        </w:rPr>
        <w:t>3</w:t>
      </w:r>
      <w:r>
        <w:rPr>
          <w:sz w:val="18"/>
          <w:szCs w:val="18"/>
        </w:rPr>
        <w:t>）热管段冷却水；（</w:t>
      </w:r>
      <w:r>
        <w:rPr>
          <w:sz w:val="18"/>
          <w:szCs w:val="18"/>
        </w:rPr>
        <w:t>4</w:t>
      </w:r>
      <w:r>
        <w:rPr>
          <w:sz w:val="18"/>
          <w:szCs w:val="18"/>
        </w:rPr>
        <w:t>）堆芯吊篮；（</w:t>
      </w:r>
      <w:r>
        <w:rPr>
          <w:sz w:val="18"/>
          <w:szCs w:val="18"/>
        </w:rPr>
        <w:t>5</w:t>
      </w:r>
      <w:r>
        <w:rPr>
          <w:sz w:val="18"/>
          <w:szCs w:val="18"/>
        </w:rPr>
        <w:t>）热屏蔽；（</w:t>
      </w:r>
      <w:r>
        <w:rPr>
          <w:sz w:val="18"/>
          <w:szCs w:val="18"/>
        </w:rPr>
        <w:t>6</w:t>
      </w:r>
      <w:r>
        <w:rPr>
          <w:sz w:val="18"/>
          <w:szCs w:val="18"/>
        </w:rPr>
        <w:t>）冷管段冷却水；（</w:t>
      </w:r>
      <w:r>
        <w:rPr>
          <w:sz w:val="18"/>
          <w:szCs w:val="18"/>
        </w:rPr>
        <w:t>7</w:t>
      </w:r>
      <w:r>
        <w:rPr>
          <w:sz w:val="18"/>
          <w:szCs w:val="18"/>
        </w:rPr>
        <w:t>）反应堆压力容器。</w:t>
      </w:r>
    </w:p>
    <w:p w:rsidR="00205446" w:rsidRDefault="008671CD">
      <w:pPr>
        <w:spacing w:after="120"/>
        <w:ind w:firstLine="361"/>
        <w:jc w:val="center"/>
        <w:rPr>
          <w:sz w:val="18"/>
          <w:szCs w:val="18"/>
        </w:rPr>
      </w:pPr>
      <w:r>
        <w:rPr>
          <w:b/>
          <w:sz w:val="18"/>
          <w:szCs w:val="18"/>
        </w:rPr>
        <w:t>Fig. 6</w:t>
      </w:r>
      <w:r>
        <w:rPr>
          <w:sz w:val="18"/>
          <w:szCs w:val="18"/>
        </w:rPr>
        <w:t xml:space="preserve"> A horizontal cross section of the modelled reactor in eighth-core cyclic symmetry. (1) Fuel assembly regions; (2) core shroud; (3) hot leg water; (4) core barrel; (5) thermal shield; (6)</w:t>
      </w:r>
      <w:r>
        <w:rPr>
          <w:sz w:val="18"/>
          <w:szCs w:val="18"/>
        </w:rPr>
        <w:t xml:space="preserve"> cold leg water; (7) reactor pressure vessel.</w:t>
      </w:r>
    </w:p>
    <w:p w:rsidR="00205446" w:rsidRDefault="00205446">
      <w:pPr>
        <w:ind w:firstLine="420"/>
        <w:jc w:val="center"/>
      </w:pPr>
      <w:r>
        <w:rPr>
          <w:noProof/>
        </w:rPr>
        <w:pict>
          <v:shapetype id="_x0000_m1029" coordsize="21600,21600" o:spt="1" o:preferrelative="t" path="m,l,21600r21600,l21600,xe">
            <v:stroke joinstyle="round"/>
            <v:path gradientshapeok="t" o:connecttype="rect"/>
          </v:shapetype>
        </w:pict>
      </w:r>
      <w:r>
        <w:rPr>
          <w:noProof/>
        </w:rPr>
        <w:object w:dxaOrig="4974" w:dyaOrig="3458">
          <v:rect id="OLE 对象1" o:spid="_x0000_i1025" style="width:318.75pt;height:232.5pt;visibility:visible;mso-wrap-style:square;mso-wrap-distance-left:9pt;mso-wrap-distance-top:0;mso-wrap-distance-right:9pt;mso-wrap-distance-bottom:0" o:ole="" o:preferrelative="t" filled="f" stroked="f">
            <v:imagedata r:id="rId17" o:title="image11" croptop="1546f" cropbottom="24595f" cropright="27780f"/>
          </v:rect>
          <o:OLEObject Type="Embed" ProgID="unknown" ShapeID="OLE 对象1" DrawAspect="Content" ObjectID="_1570021631" r:id="rId18"/>
        </w:object>
      </w:r>
    </w:p>
    <w:p w:rsidR="00205446" w:rsidRDefault="008671CD">
      <w:pPr>
        <w:spacing w:before="240"/>
        <w:ind w:firstLine="361"/>
        <w:jc w:val="center"/>
        <w:rPr>
          <w:sz w:val="18"/>
          <w:szCs w:val="18"/>
        </w:rPr>
      </w:pPr>
      <w:r>
        <w:rPr>
          <w:b/>
          <w:sz w:val="18"/>
          <w:szCs w:val="18"/>
        </w:rPr>
        <w:t>图</w:t>
      </w:r>
      <w:r>
        <w:rPr>
          <w:b/>
          <w:sz w:val="18"/>
          <w:szCs w:val="18"/>
        </w:rPr>
        <w:t xml:space="preserve"> 7 </w:t>
      </w:r>
      <w:r>
        <w:rPr>
          <w:sz w:val="18"/>
          <w:szCs w:val="18"/>
        </w:rPr>
        <w:t>D19</w:t>
      </w:r>
      <w:r>
        <w:rPr>
          <w:sz w:val="18"/>
          <w:szCs w:val="18"/>
        </w:rPr>
        <w:t>堆芯和新堆芯在堆芯吊篮轴向快中子峰值平面的相对快中子</w:t>
      </w:r>
      <w:r>
        <w:rPr>
          <w:sz w:val="18"/>
          <w:szCs w:val="18"/>
        </w:rPr>
        <w:t>(</w:t>
      </w:r>
      <w:r>
        <w:rPr>
          <w:i/>
          <w:sz w:val="18"/>
          <w:szCs w:val="18"/>
        </w:rPr>
        <w:t>E</w:t>
      </w:r>
      <w:r>
        <w:rPr>
          <w:rFonts w:ascii="宋体" w:hAnsi="宋体"/>
          <w:sz w:val="18"/>
          <w:szCs w:val="18"/>
        </w:rPr>
        <w:t>≥</w:t>
      </w:r>
      <w:r>
        <w:rPr>
          <w:sz w:val="18"/>
          <w:szCs w:val="18"/>
        </w:rPr>
        <w:t>0.1 MeV)</w:t>
      </w:r>
      <w:r>
        <w:rPr>
          <w:sz w:val="18"/>
          <w:szCs w:val="18"/>
        </w:rPr>
        <w:t>注量率分布图</w:t>
      </w:r>
    </w:p>
    <w:p w:rsidR="00205446" w:rsidRDefault="008671CD">
      <w:pPr>
        <w:ind w:firstLine="271"/>
        <w:jc w:val="center"/>
        <w:rPr>
          <w:sz w:val="18"/>
          <w:szCs w:val="18"/>
        </w:rPr>
      </w:pPr>
      <w:r>
        <w:rPr>
          <w:b/>
          <w:sz w:val="18"/>
          <w:szCs w:val="18"/>
        </w:rPr>
        <w:t>Fig. 7</w:t>
      </w:r>
      <w:r>
        <w:rPr>
          <w:sz w:val="18"/>
          <w:szCs w:val="18"/>
        </w:rPr>
        <w:t xml:space="preserve"> Azimuthal fast neutron (</w:t>
      </w:r>
      <w:r>
        <w:rPr>
          <w:i/>
          <w:sz w:val="18"/>
          <w:szCs w:val="18"/>
        </w:rPr>
        <w:t>E</w:t>
      </w:r>
      <w:r>
        <w:rPr>
          <w:rFonts w:ascii="宋体" w:hAnsi="宋体"/>
          <w:sz w:val="18"/>
          <w:szCs w:val="18"/>
        </w:rPr>
        <w:t>≥</w:t>
      </w:r>
      <w:r>
        <w:rPr>
          <w:sz w:val="18"/>
          <w:szCs w:val="18"/>
        </w:rPr>
        <w:t>0.1 MeV) flux distributions on the core barrel at the axial peak locat</w:t>
      </w:r>
      <w:r>
        <w:rPr>
          <w:sz w:val="18"/>
          <w:szCs w:val="18"/>
        </w:rPr>
        <w:t>ion of the D19 core and the new core.</w:t>
      </w:r>
    </w:p>
    <w:p w:rsidR="00205446" w:rsidRDefault="00205446">
      <w:pPr>
        <w:jc w:val="center"/>
      </w:pPr>
      <w:r>
        <w:rPr>
          <w:noProof/>
        </w:rPr>
        <w:object w:dxaOrig="4947" w:dyaOrig="3458">
          <v:rect id="OLE 对象2" o:spid="_x0000_i1026" style="width:318pt;height:229.5pt;visibility:visible;mso-wrap-style:square;mso-wrap-distance-left:9pt;mso-wrap-distance-top:0;mso-wrap-distance-right:9pt;mso-wrap-distance-bottom:0" o:ole="" o:preferrelative="t" filled="f" stroked="f">
            <v:imagedata r:id="rId19" o:title="image12" croptop="5334f" cropbottom="23907f" cropright="30231f"/>
          </v:rect>
          <o:OLEObject Type="Embed" ProgID="unknown" ShapeID="OLE 对象2" DrawAspect="Content" ObjectID="_1570021632" r:id="rId20"/>
        </w:object>
      </w:r>
    </w:p>
    <w:p w:rsidR="00205446" w:rsidRDefault="008671CD">
      <w:pPr>
        <w:spacing w:before="240"/>
        <w:ind w:firstLine="361"/>
        <w:jc w:val="center"/>
        <w:rPr>
          <w:sz w:val="18"/>
          <w:szCs w:val="18"/>
        </w:rPr>
      </w:pPr>
      <w:r>
        <w:rPr>
          <w:b/>
          <w:sz w:val="18"/>
          <w:szCs w:val="18"/>
        </w:rPr>
        <w:t>图</w:t>
      </w:r>
      <w:r>
        <w:rPr>
          <w:b/>
          <w:sz w:val="18"/>
          <w:szCs w:val="18"/>
        </w:rPr>
        <w:t xml:space="preserve"> 8 </w:t>
      </w:r>
      <w:r>
        <w:rPr>
          <w:sz w:val="18"/>
          <w:szCs w:val="18"/>
        </w:rPr>
        <w:t>D19</w:t>
      </w:r>
      <w:r>
        <w:rPr>
          <w:sz w:val="18"/>
          <w:szCs w:val="18"/>
        </w:rPr>
        <w:t>堆芯和新堆芯在压力容器轴向快中子峰值平面的相对快中子</w:t>
      </w:r>
      <w:r>
        <w:rPr>
          <w:sz w:val="18"/>
          <w:szCs w:val="18"/>
        </w:rPr>
        <w:t>(</w:t>
      </w:r>
      <w:r>
        <w:rPr>
          <w:i/>
          <w:sz w:val="18"/>
          <w:szCs w:val="18"/>
        </w:rPr>
        <w:t>E</w:t>
      </w:r>
      <w:r>
        <w:rPr>
          <w:rFonts w:ascii="宋体" w:hAnsi="宋体"/>
          <w:sz w:val="18"/>
          <w:szCs w:val="18"/>
        </w:rPr>
        <w:t>≥</w:t>
      </w:r>
      <w:r>
        <w:rPr>
          <w:sz w:val="18"/>
          <w:szCs w:val="18"/>
        </w:rPr>
        <w:t>0.1 MeV)</w:t>
      </w:r>
      <w:r>
        <w:rPr>
          <w:sz w:val="18"/>
          <w:szCs w:val="18"/>
        </w:rPr>
        <w:t>注量率分布图</w:t>
      </w:r>
    </w:p>
    <w:p w:rsidR="00205446" w:rsidRDefault="008671CD">
      <w:pPr>
        <w:ind w:firstLine="271"/>
        <w:jc w:val="center"/>
        <w:rPr>
          <w:sz w:val="18"/>
          <w:szCs w:val="18"/>
        </w:rPr>
      </w:pPr>
      <w:r>
        <w:rPr>
          <w:b/>
          <w:sz w:val="18"/>
          <w:szCs w:val="18"/>
        </w:rPr>
        <w:t>Fig. 8</w:t>
      </w:r>
      <w:r>
        <w:rPr>
          <w:sz w:val="18"/>
          <w:szCs w:val="18"/>
        </w:rPr>
        <w:t xml:space="preserve"> Azimuthal fast neutron (</w:t>
      </w:r>
      <w:r>
        <w:rPr>
          <w:i/>
          <w:sz w:val="18"/>
          <w:szCs w:val="18"/>
        </w:rPr>
        <w:t>E</w:t>
      </w:r>
      <w:r>
        <w:rPr>
          <w:rFonts w:ascii="宋体" w:hAnsi="宋体"/>
          <w:sz w:val="18"/>
          <w:szCs w:val="18"/>
        </w:rPr>
        <w:t>≥</w:t>
      </w:r>
      <w:r>
        <w:rPr>
          <w:sz w:val="18"/>
          <w:szCs w:val="18"/>
        </w:rPr>
        <w:t>0.1 MeV) flux distributions on the pressure vessel</w:t>
      </w:r>
      <w:r>
        <w:rPr>
          <w:sz w:val="18"/>
          <w:szCs w:val="18"/>
        </w:rPr>
        <w:t xml:space="preserve"> at the axial peak location of the D19 core and the new core.</w:t>
      </w:r>
    </w:p>
    <w:p w:rsidR="00205446" w:rsidRDefault="008671CD">
      <w:pPr>
        <w:spacing w:before="240" w:after="120" w:line="360" w:lineRule="auto"/>
        <w:rPr>
          <w:sz w:val="24"/>
          <w:szCs w:val="24"/>
        </w:rPr>
      </w:pPr>
      <w:r>
        <w:rPr>
          <w:szCs w:val="21"/>
        </w:rPr>
        <w:t>图</w:t>
      </w:r>
      <w:r>
        <w:rPr>
          <w:szCs w:val="21"/>
        </w:rPr>
        <w:t>7</w:t>
      </w:r>
      <w:r>
        <w:rPr>
          <w:szCs w:val="21"/>
        </w:rPr>
        <w:t>和图</w:t>
      </w:r>
      <w:r>
        <w:rPr>
          <w:szCs w:val="21"/>
        </w:rPr>
        <w:t>8</w:t>
      </w:r>
      <w:r>
        <w:rPr>
          <w:szCs w:val="21"/>
        </w:rPr>
        <w:t>显示了</w:t>
      </w:r>
      <w:r>
        <w:rPr>
          <w:szCs w:val="21"/>
        </w:rPr>
        <w:t>D19</w:t>
      </w:r>
      <w:r>
        <w:rPr>
          <w:szCs w:val="21"/>
        </w:rPr>
        <w:t>堆芯和新堆芯在堆芯吊篮和压力容器轴向快中子峰值平面</w:t>
      </w:r>
      <w:r>
        <w:rPr>
          <w:szCs w:val="21"/>
        </w:rPr>
        <w:t>0°</w:t>
      </w:r>
      <w:r>
        <w:rPr>
          <w:szCs w:val="21"/>
        </w:rPr>
        <w:t>到</w:t>
      </w:r>
      <w:r>
        <w:rPr>
          <w:szCs w:val="21"/>
        </w:rPr>
        <w:t>45°</w:t>
      </w:r>
      <w:r>
        <w:rPr>
          <w:szCs w:val="21"/>
        </w:rPr>
        <w:t>方向的相对快中子</w:t>
      </w:r>
      <w:r>
        <w:rPr>
          <w:szCs w:val="21"/>
        </w:rPr>
        <w:t>(</w:t>
      </w:r>
      <w:r>
        <w:rPr>
          <w:i/>
          <w:szCs w:val="21"/>
        </w:rPr>
        <w:t>E</w:t>
      </w:r>
      <w:r>
        <w:rPr>
          <w:rFonts w:ascii="宋体" w:hAnsi="宋体"/>
          <w:szCs w:val="21"/>
        </w:rPr>
        <w:t>≥</w:t>
      </w:r>
      <w:r>
        <w:rPr>
          <w:szCs w:val="21"/>
        </w:rPr>
        <w:t>0.1 MeV)</w:t>
      </w:r>
      <w:r>
        <w:rPr>
          <w:szCs w:val="21"/>
        </w:rPr>
        <w:t>注量率。从图</w:t>
      </w:r>
      <w:r>
        <w:rPr>
          <w:szCs w:val="21"/>
        </w:rPr>
        <w:t>7</w:t>
      </w:r>
      <w:r>
        <w:rPr>
          <w:szCs w:val="21"/>
        </w:rPr>
        <w:t>和图</w:t>
      </w:r>
      <w:r>
        <w:rPr>
          <w:szCs w:val="21"/>
        </w:rPr>
        <w:t>8</w:t>
      </w:r>
      <w:r>
        <w:rPr>
          <w:szCs w:val="21"/>
        </w:rPr>
        <w:t>可以看出，新堆芯在堆芯吊篮与压力容器快中子峰值平面处的快中子注量率在各角度方向均小于</w:t>
      </w:r>
      <w:r>
        <w:rPr>
          <w:szCs w:val="21"/>
        </w:rPr>
        <w:t>D19</w:t>
      </w:r>
      <w:r>
        <w:rPr>
          <w:szCs w:val="21"/>
        </w:rPr>
        <w:t>堆芯，快中子注量率的最大值分别减少</w:t>
      </w:r>
      <w:r>
        <w:rPr>
          <w:szCs w:val="21"/>
        </w:rPr>
        <w:t>33.40%</w:t>
      </w:r>
      <w:r>
        <w:rPr>
          <w:szCs w:val="21"/>
        </w:rPr>
        <w:t>与</w:t>
      </w:r>
      <w:r>
        <w:rPr>
          <w:szCs w:val="21"/>
        </w:rPr>
        <w:t>31.11%</w:t>
      </w:r>
      <w:r>
        <w:rPr>
          <w:szCs w:val="21"/>
        </w:rPr>
        <w:t>，快中子注量率的平均值分别减少</w:t>
      </w:r>
      <w:r>
        <w:rPr>
          <w:szCs w:val="21"/>
        </w:rPr>
        <w:t>29.10%</w:t>
      </w:r>
      <w:r>
        <w:rPr>
          <w:szCs w:val="21"/>
        </w:rPr>
        <w:t>与</w:t>
      </w:r>
      <w:r>
        <w:rPr>
          <w:szCs w:val="21"/>
        </w:rPr>
        <w:t>29.54%</w:t>
      </w:r>
      <w:r>
        <w:rPr>
          <w:szCs w:val="21"/>
        </w:rPr>
        <w:t>。模拟结果表明，与</w:t>
      </w:r>
      <w:r>
        <w:rPr>
          <w:szCs w:val="21"/>
        </w:rPr>
        <w:t>D19</w:t>
      </w:r>
      <w:r>
        <w:rPr>
          <w:szCs w:val="21"/>
        </w:rPr>
        <w:t>堆芯相比，新堆芯</w:t>
      </w:r>
      <w:r>
        <w:rPr>
          <w:szCs w:val="21"/>
        </w:rPr>
        <w:t>方案在减少堆芯吊篮和压力容器处的快中子辐照损伤方面确实有较好的效果。</w:t>
      </w:r>
      <w:r>
        <w:rPr>
          <w:sz w:val="24"/>
          <w:szCs w:val="24"/>
        </w:rPr>
        <w:t xml:space="preserve"> </w:t>
      </w:r>
    </w:p>
    <w:p w:rsidR="00205446" w:rsidRDefault="008671CD">
      <w:pPr>
        <w:spacing w:line="360" w:lineRule="auto"/>
        <w:outlineLvl w:val="0"/>
        <w:rPr>
          <w:rFonts w:ascii="黑体" w:eastAsia="黑体" w:hAnsi="黑体"/>
          <w:b/>
          <w:sz w:val="28"/>
          <w:szCs w:val="28"/>
        </w:rPr>
      </w:pPr>
      <w:r>
        <w:rPr>
          <w:rFonts w:eastAsia="黑体"/>
          <w:b/>
          <w:sz w:val="28"/>
          <w:szCs w:val="28"/>
        </w:rPr>
        <w:t>5</w:t>
      </w:r>
      <w:r>
        <w:rPr>
          <w:rFonts w:ascii="黑体" w:eastAsia="黑体" w:hAnsi="黑体"/>
          <w:b/>
          <w:sz w:val="28"/>
          <w:szCs w:val="28"/>
        </w:rPr>
        <w:t xml:space="preserve"> </w:t>
      </w:r>
      <w:r>
        <w:rPr>
          <w:rFonts w:ascii="黑体" w:eastAsia="黑体" w:hAnsi="黑体" w:hint="eastAsia"/>
          <w:b/>
          <w:sz w:val="28"/>
          <w:szCs w:val="28"/>
        </w:rPr>
        <w:t>总结</w:t>
      </w:r>
    </w:p>
    <w:p w:rsidR="00205446" w:rsidRDefault="008671CD">
      <w:pPr>
        <w:spacing w:line="360" w:lineRule="auto"/>
        <w:rPr>
          <w:szCs w:val="21"/>
        </w:rPr>
      </w:pPr>
      <w:r>
        <w:rPr>
          <w:szCs w:val="21"/>
        </w:rPr>
        <w:t xml:space="preserve">    </w:t>
      </w:r>
      <w:r>
        <w:rPr>
          <w:szCs w:val="21"/>
        </w:rPr>
        <w:t>本文利用</w:t>
      </w:r>
      <w:r>
        <w:rPr>
          <w:szCs w:val="21"/>
        </w:rPr>
        <w:t>MCNP5</w:t>
      </w:r>
      <w:r>
        <w:rPr>
          <w:szCs w:val="21"/>
        </w:rPr>
        <w:t>程序对</w:t>
      </w:r>
      <w:r>
        <w:rPr>
          <w:szCs w:val="21"/>
        </w:rPr>
        <w:t>AP1000(D19)</w:t>
      </w:r>
      <w:r>
        <w:rPr>
          <w:szCs w:val="21"/>
        </w:rPr>
        <w:t>方案及一个新方案的首循环堆芯进行了精细建模，并详细计算了两种方案在热态满功率、无氙、控制棒全提状态下的主要物理参数。</w:t>
      </w:r>
    </w:p>
    <w:p w:rsidR="00205446" w:rsidRDefault="008671CD">
      <w:pPr>
        <w:spacing w:line="360" w:lineRule="auto"/>
        <w:rPr>
          <w:szCs w:val="21"/>
        </w:rPr>
      </w:pPr>
      <w:r>
        <w:rPr>
          <w:szCs w:val="21"/>
        </w:rPr>
        <w:t>新堆芯采用低泄漏布置方案。在热态满功率、无氙、控制棒全提状态下，新堆芯设计满足</w:t>
      </w:r>
      <w:r>
        <w:rPr>
          <w:szCs w:val="21"/>
        </w:rPr>
        <w:t>AP1000</w:t>
      </w:r>
      <w:r>
        <w:rPr>
          <w:szCs w:val="21"/>
        </w:rPr>
        <w:t>的核设计准则。与</w:t>
      </w:r>
      <w:r>
        <w:rPr>
          <w:szCs w:val="21"/>
        </w:rPr>
        <w:t>D19</w:t>
      </w:r>
      <w:r>
        <w:rPr>
          <w:szCs w:val="21"/>
        </w:rPr>
        <w:t>堆芯方案相比，新堆芯方案节省</w:t>
      </w:r>
      <w:r>
        <w:rPr>
          <w:szCs w:val="21"/>
        </w:rPr>
        <w:t>U-235</w:t>
      </w:r>
      <w:r>
        <w:rPr>
          <w:szCs w:val="21"/>
        </w:rPr>
        <w:t>装料</w:t>
      </w:r>
      <w:r>
        <w:rPr>
          <w:szCs w:val="21"/>
        </w:rPr>
        <w:t>10.3%</w:t>
      </w:r>
      <w:r>
        <w:rPr>
          <w:szCs w:val="21"/>
        </w:rPr>
        <w:t>；另外，新堆芯的堆芯吊篮与压力容器在快中子</w:t>
      </w:r>
      <w:r>
        <w:rPr>
          <w:szCs w:val="21"/>
        </w:rPr>
        <w:t>(</w:t>
      </w:r>
      <w:r>
        <w:rPr>
          <w:i/>
          <w:szCs w:val="21"/>
        </w:rPr>
        <w:t>E</w:t>
      </w:r>
      <w:r>
        <w:rPr>
          <w:szCs w:val="21"/>
        </w:rPr>
        <w:t>≥0.1 MeV)</w:t>
      </w:r>
      <w:r>
        <w:rPr>
          <w:szCs w:val="21"/>
        </w:rPr>
        <w:t>峰值平面处的平均快中子注量率分</w:t>
      </w:r>
      <w:r>
        <w:rPr>
          <w:szCs w:val="21"/>
        </w:rPr>
        <w:t>别减少</w:t>
      </w:r>
      <w:r>
        <w:rPr>
          <w:szCs w:val="21"/>
        </w:rPr>
        <w:t>29.10%</w:t>
      </w:r>
      <w:r>
        <w:rPr>
          <w:szCs w:val="21"/>
        </w:rPr>
        <w:t>与</w:t>
      </w:r>
      <w:r>
        <w:rPr>
          <w:szCs w:val="21"/>
        </w:rPr>
        <w:t>29.54%</w:t>
      </w:r>
      <w:r>
        <w:rPr>
          <w:szCs w:val="21"/>
        </w:rPr>
        <w:t>。与</w:t>
      </w:r>
      <w:r>
        <w:rPr>
          <w:szCs w:val="21"/>
        </w:rPr>
        <w:t>Adv</w:t>
      </w:r>
      <w:r>
        <w:rPr>
          <w:szCs w:val="21"/>
        </w:rPr>
        <w:t>堆芯相比，新堆芯的燃料棒以及燃料组件布置大大简化，装料简单，发生装错料事故的概率大大降低。</w:t>
      </w:r>
    </w:p>
    <w:p w:rsidR="00205446" w:rsidRDefault="008671CD">
      <w:pPr>
        <w:spacing w:line="360" w:lineRule="auto"/>
        <w:rPr>
          <w:szCs w:val="21"/>
        </w:rPr>
      </w:pPr>
      <w:r>
        <w:rPr>
          <w:szCs w:val="21"/>
        </w:rPr>
        <w:t>需要注意的是，新堆芯方案只进行了堆芯处于热态满功率、无氙情况下的物理参数计算，接下来的工作主要考虑堆芯燃耗计算。不过，新堆芯方案是</w:t>
      </w:r>
      <w:r>
        <w:rPr>
          <w:szCs w:val="21"/>
        </w:rPr>
        <w:t>D19</w:t>
      </w:r>
      <w:r>
        <w:rPr>
          <w:szCs w:val="21"/>
        </w:rPr>
        <w:t>方案与</w:t>
      </w:r>
      <w:r>
        <w:rPr>
          <w:szCs w:val="21"/>
        </w:rPr>
        <w:t>Adv</w:t>
      </w:r>
      <w:r>
        <w:rPr>
          <w:szCs w:val="21"/>
        </w:rPr>
        <w:t>方案的一个折衷方案，具有两种方案的优点，同时摒弃了两种方案的缺点，下一步可在此堆芯方案基础上进行优化，来满足严格的</w:t>
      </w:r>
      <w:r>
        <w:rPr>
          <w:szCs w:val="21"/>
        </w:rPr>
        <w:t>AP1000</w:t>
      </w:r>
      <w:r>
        <w:rPr>
          <w:szCs w:val="21"/>
        </w:rPr>
        <w:t>堆芯设计要求。</w:t>
      </w:r>
    </w:p>
    <w:p w:rsidR="00205446" w:rsidRDefault="008671CD">
      <w:pPr>
        <w:spacing w:line="360" w:lineRule="auto"/>
        <w:outlineLvl w:val="0"/>
        <w:rPr>
          <w:rFonts w:ascii="黑体" w:eastAsia="黑体" w:hAnsi="黑体" w:cs="NimbusRomNo9L-Regu"/>
          <w:b/>
          <w:szCs w:val="21"/>
        </w:rPr>
      </w:pPr>
      <w:r>
        <w:rPr>
          <w:rFonts w:ascii="黑体" w:eastAsia="黑体" w:hAnsi="黑体" w:cs="NimbusRomNo9L-Regu"/>
          <w:b/>
          <w:szCs w:val="21"/>
        </w:rPr>
        <w:t>致谢</w:t>
      </w:r>
      <w:r>
        <w:rPr>
          <w:rFonts w:ascii="黑体" w:eastAsia="黑体" w:hAnsi="黑体" w:cs="NimbusRomNo9L-Regu" w:hint="eastAsia"/>
          <w:b/>
          <w:szCs w:val="21"/>
        </w:rPr>
        <w:t xml:space="preserve"> </w:t>
      </w:r>
      <w:r>
        <w:rPr>
          <w:rFonts w:ascii="宋体" w:hAnsi="宋体" w:cs="NimbusRomNo9L-Regu" w:hint="eastAsia"/>
          <w:szCs w:val="21"/>
        </w:rPr>
        <w:t>感谢中国国家超级计算机广州中心对本文并行计算的支持；本工作得到了中国国家自</w:t>
      </w:r>
      <w:r>
        <w:rPr>
          <w:rFonts w:ascii="宋体" w:hAnsi="宋体" w:cs="NimbusRomNo9L-Regu" w:hint="eastAsia"/>
          <w:szCs w:val="21"/>
        </w:rPr>
        <w:lastRenderedPageBreak/>
        <w:t>然科学基</w:t>
      </w:r>
      <w:r>
        <w:rPr>
          <w:rFonts w:ascii="宋体" w:hAnsi="宋体" w:cs="NimbusRomNo9L-Regu" w:hint="eastAsia"/>
          <w:szCs w:val="21"/>
        </w:rPr>
        <w:t>金（编号：</w:t>
      </w:r>
      <w:r>
        <w:rPr>
          <w:szCs w:val="21"/>
        </w:rPr>
        <w:t>11475007</w:t>
      </w:r>
      <w:r>
        <w:rPr>
          <w:rFonts w:ascii="宋体" w:hAnsi="宋体" w:cs="NimbusRomNo9L-Regu" w:hint="eastAsia"/>
          <w:szCs w:val="21"/>
        </w:rPr>
        <w:t>）和中国核数据中心的资助。</w:t>
      </w:r>
    </w:p>
    <w:p w:rsidR="00205446" w:rsidRDefault="008671CD">
      <w:pPr>
        <w:outlineLvl w:val="0"/>
        <w:rPr>
          <w:rFonts w:ascii="黑体" w:eastAsia="黑体" w:hAnsi="黑体" w:cs="微软雅黑"/>
          <w:b/>
          <w:sz w:val="30"/>
          <w:szCs w:val="30"/>
        </w:rPr>
      </w:pPr>
      <w:r>
        <w:rPr>
          <w:rFonts w:ascii="黑体" w:eastAsia="黑体" w:hAnsi="黑体" w:cs="微软雅黑" w:hint="eastAsia"/>
          <w:b/>
          <w:szCs w:val="21"/>
        </w:rPr>
        <w:t>参考文献</w:t>
      </w:r>
    </w:p>
    <w:p w:rsidR="00205446" w:rsidRDefault="008671CD">
      <w:pPr>
        <w:ind w:left="360" w:hanging="270"/>
        <w:rPr>
          <w:rFonts w:cs="微软雅黑"/>
          <w:sz w:val="18"/>
          <w:szCs w:val="18"/>
        </w:rPr>
      </w:pPr>
      <w:r>
        <w:rPr>
          <w:rFonts w:cs="微软雅黑"/>
          <w:sz w:val="18"/>
          <w:szCs w:val="18"/>
        </w:rPr>
        <w:t xml:space="preserve">[1] </w:t>
      </w:r>
      <w:r>
        <w:rPr>
          <w:rFonts w:cs="微软雅黑"/>
          <w:sz w:val="18"/>
          <w:szCs w:val="18"/>
        </w:rPr>
        <w:tab/>
        <w:t xml:space="preserve">Schulz T.L. Westinghouse AP1000 advanced passive plant[J]. Nuclear Engineering and Design, 2006, </w:t>
      </w:r>
      <w:r>
        <w:rPr>
          <w:rFonts w:cs="微软雅黑"/>
          <w:b/>
          <w:sz w:val="18"/>
          <w:szCs w:val="18"/>
        </w:rPr>
        <w:t>236:</w:t>
      </w:r>
      <w:r>
        <w:rPr>
          <w:rFonts w:cs="微软雅黑"/>
          <w:sz w:val="18"/>
          <w:szCs w:val="18"/>
        </w:rPr>
        <w:t xml:space="preserve"> 1547-1549. </w:t>
      </w:r>
    </w:p>
    <w:p w:rsidR="00205446" w:rsidRDefault="008671CD">
      <w:pPr>
        <w:ind w:left="360" w:hanging="270"/>
        <w:rPr>
          <w:sz w:val="18"/>
          <w:szCs w:val="18"/>
          <w:lang w:val="de-DE"/>
        </w:rPr>
      </w:pPr>
      <w:r>
        <w:rPr>
          <w:sz w:val="18"/>
          <w:szCs w:val="18"/>
          <w:lang w:val="de-DE"/>
        </w:rPr>
        <w:t xml:space="preserve">[2] </w:t>
      </w:r>
      <w:r>
        <w:rPr>
          <w:sz w:val="18"/>
          <w:szCs w:val="18"/>
          <w:lang w:val="de-DE"/>
        </w:rPr>
        <w:t>陈德锋</w:t>
      </w:r>
      <w:r>
        <w:rPr>
          <w:sz w:val="18"/>
          <w:szCs w:val="18"/>
          <w:lang w:val="de-DE"/>
        </w:rPr>
        <w:t xml:space="preserve">. </w:t>
      </w:r>
      <w:r>
        <w:rPr>
          <w:sz w:val="18"/>
          <w:szCs w:val="18"/>
          <w:lang w:val="de-DE"/>
        </w:rPr>
        <w:t>基于</w:t>
      </w:r>
      <w:r>
        <w:rPr>
          <w:sz w:val="18"/>
          <w:szCs w:val="18"/>
          <w:lang w:val="de-DE"/>
        </w:rPr>
        <w:t>MCNP</w:t>
      </w:r>
      <w:r>
        <w:rPr>
          <w:sz w:val="18"/>
          <w:szCs w:val="18"/>
          <w:lang w:val="de-DE"/>
        </w:rPr>
        <w:t>程序的</w:t>
      </w:r>
      <w:r>
        <w:rPr>
          <w:sz w:val="18"/>
          <w:szCs w:val="18"/>
          <w:lang w:val="de-DE"/>
        </w:rPr>
        <w:t>AP1000</w:t>
      </w:r>
      <w:r>
        <w:rPr>
          <w:sz w:val="18"/>
          <w:szCs w:val="18"/>
          <w:lang w:val="de-DE"/>
        </w:rPr>
        <w:t>反应堆屏蔽分析研究</w:t>
      </w:r>
      <w:r>
        <w:rPr>
          <w:sz w:val="18"/>
          <w:szCs w:val="18"/>
          <w:lang w:val="de-DE"/>
        </w:rPr>
        <w:t xml:space="preserve">[D]. </w:t>
      </w:r>
      <w:r>
        <w:rPr>
          <w:sz w:val="18"/>
          <w:szCs w:val="18"/>
          <w:lang w:val="de-DE"/>
        </w:rPr>
        <w:t>哈尔滨工程大学核科学与技术学院</w:t>
      </w:r>
      <w:r>
        <w:rPr>
          <w:sz w:val="18"/>
          <w:szCs w:val="18"/>
          <w:lang w:val="de-DE"/>
        </w:rPr>
        <w:t xml:space="preserve">, 2013. </w:t>
      </w:r>
    </w:p>
    <w:p w:rsidR="00205446" w:rsidRDefault="008671CD">
      <w:pPr>
        <w:ind w:left="360" w:hanging="270"/>
        <w:rPr>
          <w:sz w:val="18"/>
          <w:szCs w:val="18"/>
          <w:lang w:val="de-DE"/>
        </w:rPr>
      </w:pPr>
      <w:r>
        <w:rPr>
          <w:sz w:val="18"/>
          <w:szCs w:val="18"/>
          <w:lang w:val="de-DE"/>
        </w:rPr>
        <w:t xml:space="preserve">   Chen Defeng. Shielding Analysis of AP1000 Reactor by MCNP Code[D]. College of Nuclear Seience and Engineering, Harbin Engineering University, 2013 (in Chinese).</w:t>
      </w:r>
    </w:p>
    <w:p w:rsidR="00205446" w:rsidRDefault="008671CD">
      <w:pPr>
        <w:ind w:left="360" w:hanging="270"/>
        <w:rPr>
          <w:sz w:val="18"/>
          <w:szCs w:val="18"/>
          <w:lang w:val="de-DE"/>
        </w:rPr>
      </w:pPr>
      <w:r>
        <w:rPr>
          <w:sz w:val="18"/>
          <w:szCs w:val="18"/>
          <w:lang w:val="de-DE"/>
        </w:rPr>
        <w:t>[3]</w:t>
      </w:r>
      <w:r>
        <w:rPr>
          <w:sz w:val="18"/>
          <w:szCs w:val="18"/>
          <w:lang w:val="de-DE"/>
        </w:rPr>
        <w:tab/>
        <w:t>Wang Pengfei, Wan Jiashuang, Chen Zhi, et al. 2014. Dynamic simulation and study of Mech</w:t>
      </w:r>
      <w:r>
        <w:rPr>
          <w:sz w:val="18"/>
          <w:szCs w:val="18"/>
          <w:lang w:val="de-DE"/>
        </w:rPr>
        <w:t xml:space="preserve">anical Shim (MSHIM) core control strategy for AP1000 reactor[J]. Annals of Nuclear Energy, 2014, </w:t>
      </w:r>
      <w:r>
        <w:rPr>
          <w:b/>
          <w:sz w:val="18"/>
          <w:szCs w:val="18"/>
          <w:lang w:val="de-DE"/>
        </w:rPr>
        <w:t>72:</w:t>
      </w:r>
      <w:r>
        <w:rPr>
          <w:sz w:val="18"/>
          <w:szCs w:val="18"/>
          <w:lang w:val="de-DE"/>
        </w:rPr>
        <w:t>49-51.</w:t>
      </w:r>
    </w:p>
    <w:p w:rsidR="00205446" w:rsidRDefault="008671CD">
      <w:pPr>
        <w:ind w:left="360" w:hanging="270"/>
        <w:rPr>
          <w:sz w:val="18"/>
          <w:szCs w:val="18"/>
          <w:lang w:val="de-DE"/>
        </w:rPr>
      </w:pPr>
      <w:r>
        <w:rPr>
          <w:sz w:val="18"/>
          <w:szCs w:val="18"/>
          <w:lang w:val="de-DE"/>
        </w:rPr>
        <w:t>[4]</w:t>
      </w:r>
      <w:r>
        <w:rPr>
          <w:sz w:val="18"/>
          <w:szCs w:val="18"/>
          <w:lang w:val="de-DE"/>
        </w:rPr>
        <w:tab/>
        <w:t xml:space="preserve">Robert J. Fetterman. AP1000 core design with 50% MOX loading[J]. Annals of Nuclear Energy, 2009, </w:t>
      </w:r>
      <w:r>
        <w:rPr>
          <w:b/>
          <w:sz w:val="18"/>
          <w:szCs w:val="18"/>
          <w:lang w:val="de-DE"/>
        </w:rPr>
        <w:t>36:</w:t>
      </w:r>
      <w:r>
        <w:rPr>
          <w:sz w:val="18"/>
          <w:szCs w:val="18"/>
          <w:lang w:val="de-DE"/>
        </w:rPr>
        <w:t>324-325.</w:t>
      </w:r>
    </w:p>
    <w:p w:rsidR="00205446" w:rsidRDefault="008671CD">
      <w:pPr>
        <w:ind w:left="360" w:hanging="270"/>
        <w:rPr>
          <w:sz w:val="18"/>
          <w:szCs w:val="18"/>
          <w:lang w:val="de-DE"/>
        </w:rPr>
      </w:pPr>
      <w:r>
        <w:rPr>
          <w:sz w:val="18"/>
          <w:szCs w:val="18"/>
          <w:lang w:val="de-DE"/>
        </w:rPr>
        <w:t>[5]</w:t>
      </w:r>
      <w:r>
        <w:rPr>
          <w:sz w:val="18"/>
          <w:szCs w:val="18"/>
          <w:lang w:val="de-DE"/>
        </w:rPr>
        <w:tab/>
      </w:r>
      <w:r>
        <w:rPr>
          <w:sz w:val="18"/>
          <w:szCs w:val="18"/>
          <w:lang w:val="de-DE"/>
        </w:rPr>
        <w:t>李雪松。浅析</w:t>
      </w:r>
      <w:r>
        <w:rPr>
          <w:sz w:val="18"/>
          <w:szCs w:val="18"/>
          <w:lang w:val="de-DE"/>
        </w:rPr>
        <w:t>AP1000</w:t>
      </w:r>
      <w:r>
        <w:rPr>
          <w:sz w:val="18"/>
          <w:szCs w:val="18"/>
          <w:lang w:val="de-DE"/>
        </w:rPr>
        <w:t>首炉堆芯装载设计对核电厂运行的影响</w:t>
      </w:r>
      <w:r>
        <w:rPr>
          <w:sz w:val="18"/>
          <w:szCs w:val="18"/>
          <w:lang w:val="de-DE"/>
        </w:rPr>
        <w:t>[J]</w:t>
      </w:r>
      <w:r>
        <w:rPr>
          <w:sz w:val="18"/>
          <w:szCs w:val="18"/>
          <w:lang w:val="de-DE"/>
        </w:rPr>
        <w:t xml:space="preserve">. </w:t>
      </w:r>
      <w:r>
        <w:rPr>
          <w:sz w:val="18"/>
          <w:szCs w:val="18"/>
          <w:lang w:val="de-DE"/>
        </w:rPr>
        <w:t>中国核科学技术进展报告</w:t>
      </w:r>
      <w:r>
        <w:rPr>
          <w:sz w:val="18"/>
          <w:szCs w:val="18"/>
          <w:lang w:val="de-DE"/>
        </w:rPr>
        <w:t>(Vol.1), 2009, 1037-1040.</w:t>
      </w:r>
    </w:p>
    <w:p w:rsidR="00205446" w:rsidRDefault="008671CD">
      <w:pPr>
        <w:ind w:left="420"/>
        <w:rPr>
          <w:sz w:val="18"/>
          <w:szCs w:val="18"/>
          <w:lang w:val="de-DE"/>
        </w:rPr>
      </w:pPr>
      <w:r>
        <w:rPr>
          <w:sz w:val="18"/>
          <w:szCs w:val="18"/>
          <w:lang w:val="de-DE"/>
        </w:rPr>
        <w:t>Li Xuesong. Discussion of the effects of AP1000 first core loading pattern design on nuclear power plant operation[J]. Progress Report on China Nuclear Science &amp; Technology (Vol.1), 2009, 1037-1040 (in Chinese).</w:t>
      </w:r>
    </w:p>
    <w:p w:rsidR="00205446" w:rsidRDefault="008671CD">
      <w:pPr>
        <w:ind w:left="360" w:hanging="270"/>
        <w:rPr>
          <w:sz w:val="18"/>
          <w:szCs w:val="18"/>
          <w:lang w:val="de-DE"/>
        </w:rPr>
      </w:pPr>
      <w:r>
        <w:rPr>
          <w:sz w:val="18"/>
          <w:szCs w:val="18"/>
          <w:lang w:val="de-DE"/>
        </w:rPr>
        <w:t>[6]</w:t>
      </w:r>
      <w:r>
        <w:rPr>
          <w:sz w:val="18"/>
          <w:szCs w:val="18"/>
          <w:lang w:val="de-DE"/>
        </w:rPr>
        <w:tab/>
      </w:r>
      <w:r>
        <w:rPr>
          <w:sz w:val="18"/>
          <w:szCs w:val="18"/>
          <w:lang w:val="de-DE"/>
        </w:rPr>
        <w:t>姚</w:t>
      </w:r>
      <w:r>
        <w:rPr>
          <w:sz w:val="18"/>
          <w:szCs w:val="18"/>
          <w:lang w:val="de-DE"/>
        </w:rPr>
        <w:t>增华。</w:t>
      </w:r>
      <w:r>
        <w:rPr>
          <w:sz w:val="18"/>
          <w:szCs w:val="18"/>
          <w:lang w:val="de-DE"/>
        </w:rPr>
        <w:t xml:space="preserve"> </w:t>
      </w:r>
      <w:r>
        <w:rPr>
          <w:sz w:val="18"/>
          <w:szCs w:val="18"/>
          <w:lang w:val="de-DE"/>
        </w:rPr>
        <w:t>评</w:t>
      </w:r>
      <w:r>
        <w:rPr>
          <w:sz w:val="18"/>
          <w:szCs w:val="18"/>
          <w:lang w:val="de-DE"/>
        </w:rPr>
        <w:t>AP1000</w:t>
      </w:r>
      <w:r>
        <w:rPr>
          <w:sz w:val="18"/>
          <w:szCs w:val="18"/>
          <w:lang w:val="de-DE"/>
        </w:rPr>
        <w:t>堆芯设计</w:t>
      </w:r>
      <w:r>
        <w:rPr>
          <w:sz w:val="18"/>
          <w:szCs w:val="18"/>
          <w:lang w:val="de-DE"/>
        </w:rPr>
        <w:t xml:space="preserve">[J]. </w:t>
      </w:r>
      <w:r>
        <w:rPr>
          <w:sz w:val="18"/>
          <w:szCs w:val="18"/>
          <w:lang w:val="de-DE"/>
        </w:rPr>
        <w:t>核动力工程，</w:t>
      </w:r>
      <w:r>
        <w:rPr>
          <w:sz w:val="18"/>
          <w:szCs w:val="18"/>
          <w:lang w:val="de-DE"/>
        </w:rPr>
        <w:t xml:space="preserve">2014, </w:t>
      </w:r>
      <w:r>
        <w:rPr>
          <w:b/>
          <w:sz w:val="18"/>
          <w:szCs w:val="18"/>
          <w:lang w:val="de-DE"/>
        </w:rPr>
        <w:t>35(S1)</w:t>
      </w:r>
      <w:r>
        <w:rPr>
          <w:b/>
          <w:sz w:val="18"/>
          <w:szCs w:val="18"/>
          <w:lang w:val="de-DE"/>
        </w:rPr>
        <w:t>：</w:t>
      </w:r>
      <w:r>
        <w:rPr>
          <w:sz w:val="18"/>
          <w:szCs w:val="18"/>
          <w:lang w:val="de-DE"/>
        </w:rPr>
        <w:t>75-79.</w:t>
      </w:r>
    </w:p>
    <w:p w:rsidR="00205446" w:rsidRDefault="008671CD">
      <w:pPr>
        <w:ind w:left="420"/>
        <w:rPr>
          <w:sz w:val="18"/>
          <w:szCs w:val="18"/>
          <w:lang w:val="de-DE"/>
        </w:rPr>
      </w:pPr>
      <w:r>
        <w:rPr>
          <w:sz w:val="18"/>
          <w:szCs w:val="18"/>
          <w:lang w:val="de-DE"/>
        </w:rPr>
        <w:t xml:space="preserve">Yao Zenghua. Review on Core Design of AP1000[J]. Nuclear Power Engineering, 2014, </w:t>
      </w:r>
      <w:r>
        <w:rPr>
          <w:b/>
          <w:sz w:val="18"/>
          <w:szCs w:val="18"/>
          <w:lang w:val="de-DE"/>
        </w:rPr>
        <w:t>35(S1):</w:t>
      </w:r>
      <w:r>
        <w:rPr>
          <w:sz w:val="18"/>
          <w:szCs w:val="18"/>
          <w:lang w:val="de-DE"/>
        </w:rPr>
        <w:t xml:space="preserve"> 75-79 (in Chinese).</w:t>
      </w:r>
    </w:p>
    <w:p w:rsidR="00205446" w:rsidRDefault="008671CD">
      <w:pPr>
        <w:ind w:left="360" w:hanging="270"/>
        <w:rPr>
          <w:sz w:val="18"/>
          <w:szCs w:val="18"/>
          <w:lang w:val="de-DE"/>
        </w:rPr>
      </w:pPr>
      <w:r>
        <w:rPr>
          <w:sz w:val="18"/>
          <w:szCs w:val="18"/>
          <w:lang w:val="de-DE"/>
        </w:rPr>
        <w:t xml:space="preserve">[7] </w:t>
      </w:r>
      <w:r>
        <w:rPr>
          <w:sz w:val="18"/>
          <w:szCs w:val="18"/>
          <w:lang w:val="de-DE"/>
        </w:rPr>
        <w:t>魏强林</w:t>
      </w:r>
      <w:r>
        <w:rPr>
          <w:sz w:val="18"/>
          <w:szCs w:val="18"/>
          <w:lang w:val="de-DE"/>
        </w:rPr>
        <w:t xml:space="preserve">, </w:t>
      </w:r>
      <w:r>
        <w:rPr>
          <w:sz w:val="18"/>
          <w:szCs w:val="18"/>
          <w:lang w:val="de-DE"/>
        </w:rPr>
        <w:t>刘义保</w:t>
      </w:r>
      <w:r>
        <w:rPr>
          <w:sz w:val="18"/>
          <w:szCs w:val="18"/>
          <w:lang w:val="de-DE"/>
        </w:rPr>
        <w:t xml:space="preserve">, </w:t>
      </w:r>
      <w:r>
        <w:rPr>
          <w:sz w:val="18"/>
          <w:szCs w:val="18"/>
          <w:lang w:val="de-DE"/>
        </w:rPr>
        <w:t>杨波</w:t>
      </w:r>
      <w:r>
        <w:rPr>
          <w:sz w:val="18"/>
          <w:szCs w:val="18"/>
          <w:lang w:val="de-DE"/>
        </w:rPr>
        <w:t>,</w:t>
      </w:r>
      <w:r>
        <w:rPr>
          <w:sz w:val="18"/>
          <w:szCs w:val="18"/>
          <w:lang w:val="de-DE"/>
        </w:rPr>
        <w:t>等</w:t>
      </w:r>
      <w:r>
        <w:rPr>
          <w:sz w:val="18"/>
          <w:szCs w:val="18"/>
          <w:lang w:val="de-DE"/>
        </w:rPr>
        <w:t xml:space="preserve">. </w:t>
      </w:r>
      <w:r>
        <w:rPr>
          <w:sz w:val="18"/>
          <w:szCs w:val="18"/>
          <w:lang w:val="de-DE"/>
        </w:rPr>
        <w:t>控制黑棒和灰棒对</w:t>
      </w:r>
      <w:r>
        <w:rPr>
          <w:sz w:val="18"/>
          <w:szCs w:val="18"/>
          <w:lang w:val="de-DE"/>
        </w:rPr>
        <w:t>AP1000</w:t>
      </w:r>
      <w:r>
        <w:rPr>
          <w:sz w:val="18"/>
          <w:szCs w:val="18"/>
          <w:lang w:val="de-DE"/>
        </w:rPr>
        <w:t>反应堆</w:t>
      </w:r>
      <w:r>
        <w:rPr>
          <w:i/>
          <w:sz w:val="18"/>
          <w:szCs w:val="18"/>
          <w:lang w:val="de-DE"/>
        </w:rPr>
        <w:t>K</w:t>
      </w:r>
      <w:r>
        <w:rPr>
          <w:i/>
          <w:sz w:val="18"/>
          <w:szCs w:val="18"/>
          <w:vertAlign w:val="subscript"/>
          <w:lang w:val="de-DE"/>
        </w:rPr>
        <w:t>eff</w:t>
      </w:r>
      <w:r>
        <w:rPr>
          <w:sz w:val="18"/>
          <w:szCs w:val="18"/>
          <w:lang w:val="de-DE"/>
        </w:rPr>
        <w:t>值影响的</w:t>
      </w:r>
      <w:r>
        <w:rPr>
          <w:sz w:val="18"/>
          <w:szCs w:val="18"/>
          <w:lang w:val="de-DE"/>
        </w:rPr>
        <w:t>M-C</w:t>
      </w:r>
      <w:r>
        <w:rPr>
          <w:sz w:val="18"/>
          <w:szCs w:val="18"/>
          <w:lang w:val="de-DE"/>
        </w:rPr>
        <w:t>模拟</w:t>
      </w:r>
      <w:r>
        <w:rPr>
          <w:sz w:val="18"/>
          <w:szCs w:val="18"/>
          <w:lang w:val="de-DE"/>
        </w:rPr>
        <w:t>[J].</w:t>
      </w:r>
      <w:r>
        <w:rPr>
          <w:sz w:val="18"/>
          <w:szCs w:val="18"/>
          <w:lang w:val="de-DE"/>
        </w:rPr>
        <w:t>科学技术与工程</w:t>
      </w:r>
      <w:r>
        <w:rPr>
          <w:sz w:val="18"/>
          <w:szCs w:val="18"/>
          <w:lang w:val="de-DE"/>
        </w:rPr>
        <w:t xml:space="preserve">, 2013, </w:t>
      </w:r>
      <w:r>
        <w:rPr>
          <w:b/>
          <w:sz w:val="18"/>
          <w:szCs w:val="18"/>
          <w:lang w:val="de-DE"/>
        </w:rPr>
        <w:t>13(8):</w:t>
      </w:r>
      <w:r>
        <w:rPr>
          <w:sz w:val="18"/>
          <w:szCs w:val="18"/>
          <w:lang w:val="de-DE"/>
        </w:rPr>
        <w:t>2074~2078.</w:t>
      </w:r>
    </w:p>
    <w:p w:rsidR="00205446" w:rsidRDefault="008671CD">
      <w:pPr>
        <w:ind w:left="360" w:hanging="270"/>
        <w:rPr>
          <w:sz w:val="18"/>
          <w:szCs w:val="18"/>
          <w:lang w:val="de-DE"/>
        </w:rPr>
      </w:pPr>
      <w:r>
        <w:rPr>
          <w:sz w:val="18"/>
          <w:szCs w:val="18"/>
          <w:lang w:val="de-DE"/>
        </w:rPr>
        <w:t xml:space="preserve">   Wei Qiangli</w:t>
      </w:r>
      <w:r>
        <w:rPr>
          <w:sz w:val="18"/>
          <w:szCs w:val="18"/>
          <w:lang w:val="de-DE"/>
        </w:rPr>
        <w:t xml:space="preserve">n, Liu Yibao, Yang Bo, et al. M-C Simulation on </w:t>
      </w:r>
      <w:r>
        <w:rPr>
          <w:i/>
          <w:sz w:val="18"/>
          <w:szCs w:val="18"/>
          <w:lang w:val="de-DE"/>
        </w:rPr>
        <w:t>K</w:t>
      </w:r>
      <w:r>
        <w:rPr>
          <w:i/>
          <w:sz w:val="18"/>
          <w:szCs w:val="18"/>
          <w:vertAlign w:val="subscript"/>
          <w:lang w:val="de-DE"/>
        </w:rPr>
        <w:t>eff</w:t>
      </w:r>
      <w:r>
        <w:rPr>
          <w:sz w:val="18"/>
          <w:szCs w:val="18"/>
          <w:lang w:val="de-DE"/>
        </w:rPr>
        <w:t xml:space="preserve"> Value for Control and Gray Rod Effect in AP1000 Reactor[J]. Science Technology and Engineering, 2013, </w:t>
      </w:r>
      <w:r>
        <w:rPr>
          <w:b/>
          <w:sz w:val="18"/>
          <w:szCs w:val="18"/>
          <w:lang w:val="de-DE"/>
        </w:rPr>
        <w:t>13(8):</w:t>
      </w:r>
      <w:r>
        <w:rPr>
          <w:sz w:val="18"/>
          <w:szCs w:val="18"/>
          <w:lang w:val="de-DE"/>
        </w:rPr>
        <w:t>2074~2078 (in Chinese).</w:t>
      </w:r>
    </w:p>
    <w:p w:rsidR="00205446" w:rsidRDefault="008671CD">
      <w:pPr>
        <w:ind w:left="360" w:hanging="270"/>
        <w:rPr>
          <w:sz w:val="18"/>
          <w:szCs w:val="18"/>
          <w:lang w:val="de-DE"/>
        </w:rPr>
      </w:pPr>
      <w:r>
        <w:rPr>
          <w:sz w:val="18"/>
          <w:szCs w:val="18"/>
          <w:lang w:val="de-DE"/>
        </w:rPr>
        <w:t>[8] Westinghouse Electric Company. Westinghouse AP1000 Design Control D</w:t>
      </w:r>
      <w:r>
        <w:rPr>
          <w:sz w:val="18"/>
          <w:szCs w:val="18"/>
          <w:lang w:val="de-DE"/>
        </w:rPr>
        <w:t>ocument Rev. 16[J]. 2007, Chapter 4.</w:t>
      </w:r>
    </w:p>
    <w:p w:rsidR="00205446" w:rsidRDefault="008671CD">
      <w:pPr>
        <w:ind w:left="360" w:hanging="270"/>
        <w:rPr>
          <w:sz w:val="18"/>
          <w:szCs w:val="18"/>
          <w:lang w:val="de-DE"/>
        </w:rPr>
      </w:pPr>
      <w:r>
        <w:rPr>
          <w:sz w:val="18"/>
          <w:szCs w:val="18"/>
          <w:lang w:val="de-DE"/>
        </w:rPr>
        <w:t>[9] X-5 Monte Carlo Team.MCNP — A General Monte Carlo N-Particle Transport Code, Version 5. Los Alamos National Laboratory, Report LA-UR-03-1987, 2003.</w:t>
      </w:r>
    </w:p>
    <w:p w:rsidR="00205446" w:rsidRDefault="008671CD">
      <w:pPr>
        <w:ind w:left="360" w:hanging="270"/>
        <w:rPr>
          <w:sz w:val="18"/>
          <w:szCs w:val="18"/>
          <w:lang w:val="de-DE"/>
        </w:rPr>
      </w:pPr>
      <w:r>
        <w:rPr>
          <w:sz w:val="18"/>
          <w:szCs w:val="18"/>
          <w:lang w:val="de-DE"/>
        </w:rPr>
        <w:t>[10] Dawahra S, Khattab K, Saba G. A comparative study of the neutr</w:t>
      </w:r>
      <w:r>
        <w:rPr>
          <w:sz w:val="18"/>
          <w:szCs w:val="18"/>
          <w:lang w:val="de-DE"/>
        </w:rPr>
        <w:t xml:space="preserve">on flux spectra in the MNSR irradiation sites for the HEU and LEU cores using the MCNP4C code[J]. Applied Radiation and Isotopes, 2015, </w:t>
      </w:r>
      <w:r>
        <w:rPr>
          <w:b/>
          <w:sz w:val="18"/>
          <w:szCs w:val="18"/>
          <w:lang w:val="de-DE"/>
        </w:rPr>
        <w:t>104:</w:t>
      </w:r>
      <w:r>
        <w:rPr>
          <w:sz w:val="18"/>
          <w:szCs w:val="18"/>
          <w:lang w:val="de-DE"/>
        </w:rPr>
        <w:t>67-68.</w:t>
      </w:r>
    </w:p>
    <w:p w:rsidR="00205446" w:rsidRDefault="008671CD">
      <w:pPr>
        <w:ind w:left="360" w:hanging="270"/>
        <w:rPr>
          <w:sz w:val="18"/>
          <w:szCs w:val="18"/>
          <w:lang w:val="de-DE"/>
        </w:rPr>
      </w:pPr>
      <w:r>
        <w:rPr>
          <w:sz w:val="18"/>
          <w:szCs w:val="18"/>
          <w:lang w:val="de-DE"/>
        </w:rPr>
        <w:t>[11] Guo Tao, Hu Jiawen, Mao Shide, Zhang Zhigang. Evaluation of the pressure–volume–temperature (PVT) data o</w:t>
      </w:r>
      <w:r>
        <w:rPr>
          <w:sz w:val="18"/>
          <w:szCs w:val="18"/>
          <w:lang w:val="de-DE"/>
        </w:rPr>
        <w:t xml:space="preserve">f water from experiments and molecular simulations since 1990[J]. Physics of the Earth and Planetary Interiors, 2015, </w:t>
      </w:r>
      <w:r>
        <w:rPr>
          <w:b/>
          <w:sz w:val="18"/>
          <w:szCs w:val="18"/>
          <w:lang w:val="de-DE"/>
        </w:rPr>
        <w:t>245:</w:t>
      </w:r>
      <w:r>
        <w:rPr>
          <w:sz w:val="18"/>
          <w:szCs w:val="18"/>
          <w:lang w:val="de-DE"/>
        </w:rPr>
        <w:t xml:space="preserve"> 88-90.</w:t>
      </w:r>
    </w:p>
    <w:p w:rsidR="00205446" w:rsidRDefault="008671CD">
      <w:pPr>
        <w:ind w:left="561" w:hanging="540"/>
        <w:rPr>
          <w:sz w:val="18"/>
          <w:szCs w:val="18"/>
        </w:rPr>
      </w:pPr>
      <w:r>
        <w:rPr>
          <w:sz w:val="18"/>
          <w:szCs w:val="18"/>
          <w:lang w:val="de-DE"/>
        </w:rPr>
        <w:t xml:space="preserve"> [12] Yang Shouhai, Chen Yixue, Hu Ye, et al. Evaluation of Fast Neutron Inserted to RPV Materials and Management of RPV Lifet</w:t>
      </w:r>
      <w:r>
        <w:rPr>
          <w:sz w:val="18"/>
          <w:szCs w:val="18"/>
          <w:lang w:val="de-DE"/>
        </w:rPr>
        <w:t xml:space="preserve">ime for PWR Power Plant[J]. Advanced Materials Research, 2012, </w:t>
      </w:r>
      <w:r>
        <w:rPr>
          <w:b/>
          <w:sz w:val="18"/>
          <w:szCs w:val="18"/>
          <w:lang w:val="de-DE"/>
        </w:rPr>
        <w:t>413:</w:t>
      </w:r>
      <w:r>
        <w:rPr>
          <w:sz w:val="18"/>
          <w:szCs w:val="18"/>
          <w:lang w:val="de-DE"/>
        </w:rPr>
        <w:t xml:space="preserve"> 514-516.</w:t>
      </w:r>
    </w:p>
    <w:p w:rsidR="00205446" w:rsidRDefault="00205446">
      <w:pPr>
        <w:rPr>
          <w:bCs/>
          <w:sz w:val="32"/>
          <w:szCs w:val="32"/>
        </w:rPr>
      </w:pPr>
    </w:p>
    <w:p w:rsidR="00205446" w:rsidRDefault="00205446">
      <w:pPr>
        <w:rPr>
          <w:bCs/>
          <w:sz w:val="32"/>
          <w:szCs w:val="32"/>
        </w:rPr>
      </w:pPr>
    </w:p>
    <w:p w:rsidR="00205446" w:rsidRDefault="008671CD">
      <w:pPr>
        <w:jc w:val="center"/>
        <w:rPr>
          <w:b/>
          <w:bCs/>
          <w:sz w:val="32"/>
          <w:szCs w:val="32"/>
        </w:rPr>
      </w:pPr>
      <w:r>
        <w:rPr>
          <w:b/>
          <w:bCs/>
          <w:sz w:val="32"/>
          <w:szCs w:val="32"/>
        </w:rPr>
        <w:t>Simulation of a new core design scheme of the AP1000 reactor by the MCNP5 code</w:t>
      </w:r>
    </w:p>
    <w:p w:rsidR="00205446" w:rsidRDefault="008671CD">
      <w:pPr>
        <w:spacing w:line="360" w:lineRule="auto"/>
        <w:jc w:val="center"/>
        <w:rPr>
          <w:sz w:val="18"/>
          <w:szCs w:val="18"/>
        </w:rPr>
      </w:pPr>
      <w:r>
        <w:rPr>
          <w:sz w:val="18"/>
          <w:szCs w:val="18"/>
        </w:rPr>
        <w:t>Luyu Zhang, Zhimin Wang, Huaiyong Bai, Xiao Fan, Jinxiang Chen, Guohui Zhang</w:t>
      </w:r>
      <w:r>
        <w:rPr>
          <w:b/>
          <w:bCs/>
          <w:sz w:val="32"/>
          <w:szCs w:val="32"/>
        </w:rPr>
        <w:footnoteReference w:id="2"/>
      </w:r>
      <w:r>
        <w:rPr>
          <w:sz w:val="18"/>
          <w:szCs w:val="18"/>
        </w:rPr>
        <w:t xml:space="preserve"> </w:t>
      </w:r>
    </w:p>
    <w:p w:rsidR="00205446" w:rsidRDefault="008671CD">
      <w:pPr>
        <w:spacing w:line="360" w:lineRule="auto"/>
        <w:jc w:val="center"/>
        <w:rPr>
          <w:sz w:val="18"/>
          <w:szCs w:val="18"/>
        </w:rPr>
      </w:pPr>
      <w:r>
        <w:rPr>
          <w:sz w:val="18"/>
          <w:szCs w:val="18"/>
        </w:rPr>
        <w:t>(</w:t>
      </w:r>
      <w:r>
        <w:rPr>
          <w:i/>
          <w:sz w:val="18"/>
          <w:szCs w:val="18"/>
        </w:rPr>
        <w:t xml:space="preserve">State Key </w:t>
      </w:r>
      <w:r>
        <w:rPr>
          <w:i/>
          <w:sz w:val="18"/>
          <w:szCs w:val="18"/>
        </w:rPr>
        <w:t>Laboratory of Nuclear Physics and Technology, Institute of Heavy Ion Physics, School of physics, Peking University, Beijing 100871, China</w:t>
      </w:r>
      <w:r>
        <w:rPr>
          <w:sz w:val="18"/>
          <w:szCs w:val="18"/>
        </w:rPr>
        <w:t>)</w:t>
      </w:r>
    </w:p>
    <w:p w:rsidR="00205446" w:rsidRDefault="008671CD">
      <w:pPr>
        <w:rPr>
          <w:bCs/>
          <w:sz w:val="18"/>
          <w:szCs w:val="18"/>
        </w:rPr>
      </w:pPr>
      <w:r>
        <w:rPr>
          <w:b/>
          <w:bCs/>
          <w:sz w:val="18"/>
          <w:szCs w:val="18"/>
        </w:rPr>
        <w:t xml:space="preserve">Abstract: </w:t>
      </w:r>
      <w:r>
        <w:rPr>
          <w:bCs/>
          <w:sz w:val="18"/>
          <w:szCs w:val="18"/>
        </w:rPr>
        <w:t>AP1000, developed by the Westinghouse, is a pressurized water reactor with advanced passive safety systems.</w:t>
      </w:r>
      <w:r>
        <w:rPr>
          <w:bCs/>
          <w:sz w:val="18"/>
          <w:szCs w:val="18"/>
        </w:rPr>
        <w:t xml:space="preserve"> D19 and Adv are two core design schemes of the AP1000. This paper modeled the AP1000 D19 core design and a new core design which is based on the advantages of the two schemes at the first cycle by using the MCNP code. Then, main nuclear design parameters </w:t>
      </w:r>
      <w:r>
        <w:rPr>
          <w:bCs/>
          <w:sz w:val="18"/>
          <w:szCs w:val="18"/>
        </w:rPr>
        <w:t xml:space="preserve">were also calculated. The results indicates that the new core reduces 10.3% loading of </w:t>
      </w:r>
      <w:r>
        <w:rPr>
          <w:sz w:val="18"/>
          <w:szCs w:val="18"/>
        </w:rPr>
        <w:t>U-235 and decreases average fast neutron (</w:t>
      </w:r>
      <w:r>
        <w:rPr>
          <w:i/>
          <w:sz w:val="18"/>
          <w:szCs w:val="18"/>
        </w:rPr>
        <w:t>E</w:t>
      </w:r>
      <w:r>
        <w:rPr>
          <w:sz w:val="18"/>
          <w:szCs w:val="18"/>
        </w:rPr>
        <w:t>≥0.1 MeV) flux by 29.10% on the core barrel and by 29.54% on the pressure vessel at the axial peak location than the D19 core.</w:t>
      </w:r>
      <w:r>
        <w:rPr>
          <w:sz w:val="18"/>
          <w:szCs w:val="18"/>
        </w:rPr>
        <w:t xml:space="preserve"> Meanwhile, comparing with the Adv core, the new core design is much simpler in aspects of the loading of the fuel rods and the arrangement of the fuel assemblies. Next step, core design scheme can start based on the present work and then develop more elab</w:t>
      </w:r>
      <w:r>
        <w:rPr>
          <w:sz w:val="18"/>
          <w:szCs w:val="18"/>
        </w:rPr>
        <w:t>orately to meet the rigorous criteria.</w:t>
      </w:r>
    </w:p>
    <w:p w:rsidR="00205446" w:rsidRDefault="008671CD">
      <w:pPr>
        <w:jc w:val="left"/>
        <w:rPr>
          <w:bCs/>
          <w:sz w:val="18"/>
          <w:szCs w:val="18"/>
        </w:rPr>
      </w:pPr>
      <w:r>
        <w:rPr>
          <w:b/>
          <w:bCs/>
          <w:sz w:val="18"/>
          <w:szCs w:val="18"/>
        </w:rPr>
        <w:t xml:space="preserve">Key words: </w:t>
      </w:r>
      <w:r>
        <w:rPr>
          <w:bCs/>
          <w:sz w:val="18"/>
          <w:szCs w:val="18"/>
        </w:rPr>
        <w:t>AP1000; core configuration scheme; MCNP5; nuclear design parameters; hot full power.</w:t>
      </w:r>
    </w:p>
    <w:p w:rsidR="00205446" w:rsidRDefault="00205446">
      <w:pPr>
        <w:jc w:val="left"/>
        <w:rPr>
          <w:b/>
          <w:bCs/>
          <w:sz w:val="18"/>
          <w:szCs w:val="18"/>
        </w:rPr>
      </w:pPr>
    </w:p>
    <w:sectPr w:rsidR="00205446" w:rsidSect="00205446">
      <w:footerReference w:type="default" r:id="rId21"/>
      <w:endnotePr>
        <w:numFmt w:val="decimal"/>
      </w:endnotePr>
      <w:pgSz w:w="11906" w:h="16838"/>
      <w:pgMar w:top="1440" w:right="1800" w:bottom="1440" w:left="1800" w:header="720"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1CD" w:rsidRDefault="008671CD" w:rsidP="00205446">
      <w:r>
        <w:separator/>
      </w:r>
    </w:p>
  </w:endnote>
  <w:endnote w:type="continuationSeparator" w:id="0">
    <w:p w:rsidR="008671CD" w:rsidRDefault="008671CD" w:rsidP="00205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微软雅黑"/>
    <w:panose1 w:val="02010600030101010101"/>
    <w:charset w:val="86"/>
    <w:family w:val="modern"/>
    <w:notTrueType/>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altName w:val="MS Gothic"/>
    <w:charset w:val="86"/>
    <w:family w:val="modern"/>
    <w:pitch w:val="default"/>
    <w:sig w:usb0="00000000" w:usb1="00000000" w:usb2="00000000" w:usb3="00000000" w:csb0="00000000" w:csb1="00000000"/>
  </w:font>
  <w:font w:name="E-BZ+ZFXD4m-3">
    <w:charset w:val="86"/>
    <w:family w:val="auto"/>
    <w:pitch w:val="default"/>
    <w:sig w:usb0="00000000" w:usb1="00000000" w:usb2="00000000" w:usb3="00000000" w:csb0="00000000" w:csb1="00000000"/>
  </w:font>
  <w:font w:name="方正舒体">
    <w:charset w:val="86"/>
    <w:family w:val="auto"/>
    <w:pitch w:val="default"/>
    <w:sig w:usb0="00000000" w:usb1="00000000" w:usb2="00000000" w:usb3="00000000" w:csb0="00000000" w:csb1="00000000"/>
  </w:font>
  <w:font w:name="TimesNewRoman">
    <w:charset w:val="86"/>
    <w:family w:val="auto"/>
    <w:pitch w:val="default"/>
    <w:sig w:usb0="00000000" w:usb1="00000000" w:usb2="00000000" w:usb3="00000000" w:csb0="00000000" w:csb1="00000000"/>
  </w:font>
  <w:font w:name="NimbusRomNo9L-Regu">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46" w:rsidRDefault="00205446">
    <w:pPr>
      <w:jc w:val="right"/>
    </w:pPr>
    <w:r>
      <w:fldChar w:fldCharType="begin"/>
    </w:r>
    <w:r w:rsidR="008671CD">
      <w:instrText xml:space="preserve"> PAGE \* Arabic </w:instrText>
    </w:r>
    <w:r>
      <w:fldChar w:fldCharType="separate"/>
    </w:r>
    <w:r w:rsidR="00F065FD">
      <w:rPr>
        <w:noProof/>
      </w:rPr>
      <w:t>1</w:t>
    </w:r>
    <w:r>
      <w:fldChar w:fldCharType="end"/>
    </w:r>
  </w:p>
  <w:p w:rsidR="00205446" w:rsidRDefault="002054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1CD" w:rsidRDefault="008671CD" w:rsidP="00205446">
      <w:r>
        <w:separator/>
      </w:r>
    </w:p>
  </w:footnote>
  <w:footnote w:type="continuationSeparator" w:id="0">
    <w:p w:rsidR="008671CD" w:rsidRDefault="008671CD" w:rsidP="00205446">
      <w:r>
        <w:continuationSeparator/>
      </w:r>
    </w:p>
  </w:footnote>
  <w:footnote w:id="1">
    <w:p w:rsidR="00205446" w:rsidRDefault="008671CD">
      <w:pPr>
        <w:spacing w:line="240" w:lineRule="exact"/>
        <w:rPr>
          <w:b/>
          <w:sz w:val="15"/>
          <w:szCs w:val="15"/>
        </w:rPr>
      </w:pPr>
      <w:r>
        <w:rPr>
          <w:b/>
          <w:sz w:val="15"/>
          <w:szCs w:val="15"/>
        </w:rPr>
        <w:t>收稿日期</w:t>
      </w:r>
      <w:r>
        <w:rPr>
          <w:sz w:val="15"/>
          <w:szCs w:val="15"/>
        </w:rPr>
        <w:t>：</w:t>
      </w:r>
      <w:r>
        <w:rPr>
          <w:sz w:val="15"/>
          <w:szCs w:val="15"/>
        </w:rPr>
        <w:t xml:space="preserve">             </w:t>
      </w:r>
      <w:r>
        <w:rPr>
          <w:b/>
          <w:sz w:val="15"/>
          <w:szCs w:val="15"/>
        </w:rPr>
        <w:t>修回日期</w:t>
      </w:r>
    </w:p>
    <w:p w:rsidR="00205446" w:rsidRDefault="008671CD">
      <w:pPr>
        <w:spacing w:line="240" w:lineRule="exact"/>
        <w:rPr>
          <w:b/>
          <w:sz w:val="15"/>
          <w:szCs w:val="15"/>
        </w:rPr>
      </w:pPr>
      <w:r>
        <w:rPr>
          <w:b/>
          <w:sz w:val="15"/>
          <w:szCs w:val="15"/>
        </w:rPr>
        <w:t>基金项目：</w:t>
      </w:r>
      <w:r>
        <w:rPr>
          <w:sz w:val="15"/>
          <w:szCs w:val="15"/>
        </w:rPr>
        <w:t>国家自然科学基金资助项目</w:t>
      </w:r>
      <w:r>
        <w:rPr>
          <w:sz w:val="15"/>
          <w:szCs w:val="15"/>
        </w:rPr>
        <w:t>(11475007)</w:t>
      </w:r>
    </w:p>
    <w:p w:rsidR="00205446" w:rsidRDefault="008671CD">
      <w:pPr>
        <w:spacing w:line="240" w:lineRule="exact"/>
        <w:rPr>
          <w:sz w:val="15"/>
          <w:szCs w:val="15"/>
        </w:rPr>
      </w:pPr>
      <w:r>
        <w:rPr>
          <w:b/>
          <w:sz w:val="15"/>
          <w:szCs w:val="15"/>
        </w:rPr>
        <w:t>第一作者简介：</w:t>
      </w:r>
      <w:r>
        <w:rPr>
          <w:sz w:val="15"/>
          <w:szCs w:val="15"/>
        </w:rPr>
        <w:t>张陆雨</w:t>
      </w:r>
      <w:r>
        <w:t>（</w:t>
      </w:r>
      <w:r>
        <w:rPr>
          <w:sz w:val="15"/>
          <w:szCs w:val="15"/>
        </w:rPr>
        <w:t>1991</w:t>
      </w:r>
      <w:r>
        <w:t>—</w:t>
      </w:r>
      <w:r>
        <w:t>），</w:t>
      </w:r>
      <w:r>
        <w:rPr>
          <w:sz w:val="15"/>
          <w:szCs w:val="15"/>
        </w:rPr>
        <w:t>男，山西太原人，硕士研究生，从事中子与反应堆物理研究。</w:t>
      </w:r>
    </w:p>
    <w:p w:rsidR="00205446" w:rsidRDefault="008671CD">
      <w:pPr>
        <w:spacing w:line="240" w:lineRule="exact"/>
        <w:rPr>
          <w:b/>
        </w:rPr>
      </w:pPr>
      <w:r>
        <w:rPr>
          <w:b/>
          <w:sz w:val="15"/>
          <w:szCs w:val="15"/>
        </w:rPr>
        <w:t>通讯作者简介：</w:t>
      </w:r>
      <w:r>
        <w:rPr>
          <w:sz w:val="15"/>
          <w:szCs w:val="15"/>
        </w:rPr>
        <w:t>张国辉，</w:t>
      </w:r>
      <w:r>
        <w:rPr>
          <w:sz w:val="15"/>
          <w:szCs w:val="15"/>
        </w:rPr>
        <w:t>Email:guohuizhang@pku.edu.cn.</w:t>
      </w:r>
    </w:p>
  </w:footnote>
  <w:footnote w:id="2">
    <w:p w:rsidR="00205446" w:rsidRDefault="008671CD">
      <w:pPr>
        <w:rPr>
          <w:b/>
        </w:rPr>
      </w:pPr>
      <w:r>
        <w:rPr>
          <w:b/>
        </w:rPr>
        <w:t>Received date</w:t>
      </w:r>
      <w:r>
        <w:rPr>
          <w:b/>
        </w:rPr>
        <w:t>：</w:t>
      </w:r>
      <w:r>
        <w:t xml:space="preserve">                </w:t>
      </w:r>
      <w:r>
        <w:rPr>
          <w:b/>
        </w:rPr>
        <w:t>Revised date</w:t>
      </w:r>
      <w:r>
        <w:rPr>
          <w:b/>
        </w:rPr>
        <w:t>：</w:t>
      </w:r>
    </w:p>
    <w:p w:rsidR="00205446" w:rsidRDefault="00205446" w:rsidP="00F065FD">
      <w:pPr>
        <w:ind w:left="36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C2FEB"/>
    <w:multiLevelType w:val="singleLevel"/>
    <w:tmpl w:val="0F90785C"/>
    <w:name w:val="Bullet 5"/>
    <w:lvl w:ilvl="0">
      <w:start w:val="1"/>
      <w:numFmt w:val="decimal"/>
      <w:lvlText w:val="%1"/>
      <w:lvlJc w:val="left"/>
      <w:pPr>
        <w:tabs>
          <w:tab w:val="num" w:pos="0"/>
        </w:tabs>
        <w:ind w:left="0" w:firstLine="0"/>
      </w:pPr>
      <w:rPr>
        <w:rFonts w:cs="Times New Roman"/>
      </w:rPr>
    </w:lvl>
  </w:abstractNum>
  <w:abstractNum w:abstractNumId="1">
    <w:nsid w:val="1D1F5301"/>
    <w:multiLevelType w:val="multilevel"/>
    <w:tmpl w:val="3A10CE9A"/>
    <w:name w:val="编号列表 1"/>
    <w:lvl w:ilvl="0">
      <w:start w:val="1"/>
      <w:numFmt w:val="decimal"/>
      <w:lvlText w:val="%1)"/>
      <w:lvlJc w:val="left"/>
      <w:pPr>
        <w:ind w:left="0" w:firstLine="0"/>
      </w:pPr>
      <w:rPr>
        <w:rFonts w:cs="Times New Roman"/>
      </w:rPr>
    </w:lvl>
    <w:lvl w:ilvl="1">
      <w:start w:val="1"/>
      <w:numFmt w:val="lowerLetter"/>
      <w:lvlText w:val="%2)"/>
      <w:lvlJc w:val="left"/>
      <w:pPr>
        <w:ind w:left="420" w:firstLine="0"/>
      </w:pPr>
      <w:rPr>
        <w:rFonts w:cs="Times New Roman"/>
      </w:rPr>
    </w:lvl>
    <w:lvl w:ilvl="2">
      <w:start w:val="1"/>
      <w:numFmt w:val="lowerRoman"/>
      <w:lvlText w:val="%3."/>
      <w:lvlJc w:val="left"/>
      <w:pPr>
        <w:ind w:left="840" w:firstLine="0"/>
      </w:pPr>
      <w:rPr>
        <w:rFonts w:cs="Times New Roman"/>
      </w:rPr>
    </w:lvl>
    <w:lvl w:ilvl="3">
      <w:start w:val="1"/>
      <w:numFmt w:val="decimal"/>
      <w:lvlText w:val="%4."/>
      <w:lvlJc w:val="left"/>
      <w:pPr>
        <w:ind w:left="1260" w:firstLine="0"/>
      </w:pPr>
      <w:rPr>
        <w:rFonts w:cs="Times New Roman"/>
      </w:rPr>
    </w:lvl>
    <w:lvl w:ilvl="4">
      <w:start w:val="1"/>
      <w:numFmt w:val="lowerLetter"/>
      <w:lvlText w:val="%5)"/>
      <w:lvlJc w:val="left"/>
      <w:pPr>
        <w:ind w:left="1680" w:firstLine="0"/>
      </w:pPr>
      <w:rPr>
        <w:rFonts w:cs="Times New Roman"/>
      </w:rPr>
    </w:lvl>
    <w:lvl w:ilvl="5">
      <w:start w:val="1"/>
      <w:numFmt w:val="lowerRoman"/>
      <w:lvlText w:val="%6."/>
      <w:lvlJc w:val="left"/>
      <w:pPr>
        <w:ind w:left="2100" w:firstLine="0"/>
      </w:pPr>
      <w:rPr>
        <w:rFonts w:cs="Times New Roman"/>
      </w:rPr>
    </w:lvl>
    <w:lvl w:ilvl="6">
      <w:start w:val="1"/>
      <w:numFmt w:val="decimal"/>
      <w:lvlText w:val="%7."/>
      <w:lvlJc w:val="left"/>
      <w:pPr>
        <w:ind w:left="2520" w:firstLine="0"/>
      </w:pPr>
      <w:rPr>
        <w:rFonts w:cs="Times New Roman"/>
      </w:rPr>
    </w:lvl>
    <w:lvl w:ilvl="7">
      <w:start w:val="1"/>
      <w:numFmt w:val="lowerLetter"/>
      <w:lvlText w:val="%8)"/>
      <w:lvlJc w:val="left"/>
      <w:pPr>
        <w:ind w:left="2940" w:firstLine="0"/>
      </w:pPr>
      <w:rPr>
        <w:rFonts w:cs="Times New Roman"/>
      </w:rPr>
    </w:lvl>
    <w:lvl w:ilvl="8">
      <w:start w:val="1"/>
      <w:numFmt w:val="lowerRoman"/>
      <w:lvlText w:val="%9."/>
      <w:lvlJc w:val="left"/>
      <w:pPr>
        <w:ind w:left="3360" w:firstLine="0"/>
      </w:pPr>
      <w:rPr>
        <w:rFonts w:cs="Times New Roman"/>
      </w:rPr>
    </w:lvl>
  </w:abstractNum>
  <w:abstractNum w:abstractNumId="2">
    <w:nsid w:val="39BE6AEF"/>
    <w:multiLevelType w:val="singleLevel"/>
    <w:tmpl w:val="24A4EAC6"/>
    <w:name w:val="Bullet 4"/>
    <w:lvl w:ilvl="0">
      <w:start w:val="1"/>
      <w:numFmt w:val="lowerRoman"/>
      <w:lvlText w:val="%1"/>
      <w:lvlJc w:val="left"/>
      <w:pPr>
        <w:tabs>
          <w:tab w:val="num" w:pos="0"/>
        </w:tabs>
        <w:ind w:left="0" w:firstLine="0"/>
      </w:pPr>
      <w:rPr>
        <w:rFonts w:cs="Times New Roman"/>
      </w:rPr>
    </w:lvl>
  </w:abstractNum>
  <w:abstractNum w:abstractNumId="3">
    <w:nsid w:val="3ED70216"/>
    <w:multiLevelType w:val="singleLevel"/>
    <w:tmpl w:val="8C4E02D4"/>
    <w:name w:val="Bullet 2"/>
    <w:lvl w:ilvl="0">
      <w:start w:val="1"/>
      <w:numFmt w:val="decimal"/>
      <w:lvlText w:val="%1"/>
      <w:lvlJc w:val="left"/>
      <w:pPr>
        <w:tabs>
          <w:tab w:val="num" w:pos="0"/>
        </w:tabs>
        <w:ind w:left="0" w:firstLine="0"/>
      </w:pPr>
      <w:rPr>
        <w:rFonts w:cs="Times New Roman"/>
      </w:rPr>
    </w:lvl>
  </w:abstractNum>
  <w:abstractNum w:abstractNumId="4">
    <w:nsid w:val="43E30F59"/>
    <w:multiLevelType w:val="multilevel"/>
    <w:tmpl w:val="CBA616F0"/>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5">
    <w:nsid w:val="62912221"/>
    <w:multiLevelType w:val="singleLevel"/>
    <w:tmpl w:val="EF0A1A62"/>
    <w:name w:val="Bullet 3"/>
    <w:lvl w:ilvl="0">
      <w:start w:val="1"/>
      <w:numFmt w:val="lowerLetter"/>
      <w:lvlText w:val="%1"/>
      <w:lvlJc w:val="left"/>
      <w:pPr>
        <w:tabs>
          <w:tab w:val="num" w:pos="0"/>
        </w:tabs>
        <w:ind w:left="0" w:firstLine="0"/>
      </w:pPr>
      <w:rPr>
        <w:rFonts w:cs="Times New Roman"/>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characterSpacingControl w:val="doNotCompress"/>
  <w:footnotePr>
    <w:footnote w:id="-1"/>
    <w:footnote w:id="0"/>
  </w:footnotePr>
  <w:endnotePr>
    <w:numFmt w:val="decimal"/>
    <w:endnote w:id="-1"/>
    <w:endnote w:id="0"/>
  </w:endnotePr>
  <w:compat>
    <w:doNotExpandShiftReturn/>
    <w:useFELayout/>
  </w:compat>
  <w:rsids>
    <w:rsidRoot w:val="00205446"/>
    <w:rsid w:val="00205446"/>
    <w:rsid w:val="008671CD"/>
    <w:rsid w:val="00F065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1"/>
        <w:sz w:val="21"/>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rsid w:val="002054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qFormat/>
    <w:rsid w:val="00205446"/>
    <w:rPr>
      <w:sz w:val="18"/>
      <w:szCs w:val="18"/>
    </w:rPr>
  </w:style>
  <w:style w:type="paragraph" w:customStyle="1" w:styleId="Header">
    <w:name w:val="Header"/>
    <w:qFormat/>
    <w:rsid w:val="00205446"/>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sz w:val="18"/>
      <w:szCs w:val="18"/>
    </w:rPr>
  </w:style>
  <w:style w:type="paragraph" w:customStyle="1" w:styleId="Footer">
    <w:name w:val="Footer"/>
    <w:qFormat/>
    <w:rsid w:val="00205446"/>
    <w:pPr>
      <w:tabs>
        <w:tab w:val="center" w:pos="4153"/>
        <w:tab w:val="right" w:pos="8306"/>
      </w:tabs>
      <w:jc w:val="left"/>
    </w:pPr>
    <w:rPr>
      <w:sz w:val="18"/>
      <w:szCs w:val="18"/>
    </w:rPr>
  </w:style>
  <w:style w:type="paragraph" w:customStyle="1" w:styleId="Default">
    <w:name w:val="Default"/>
    <w:qFormat/>
    <w:rsid w:val="00205446"/>
    <w:pPr>
      <w:jc w:val="left"/>
    </w:pPr>
    <w:rPr>
      <w:rFonts w:ascii="Cambria Math" w:hAnsi="Cambria Math" w:cs="Cambria Math"/>
      <w:kern w:val="0"/>
      <w:sz w:val="24"/>
      <w:szCs w:val="24"/>
    </w:rPr>
  </w:style>
  <w:style w:type="paragraph" w:styleId="a4">
    <w:name w:val="List Paragraph"/>
    <w:qFormat/>
    <w:rsid w:val="00205446"/>
    <w:pPr>
      <w:ind w:firstLine="420"/>
    </w:pPr>
  </w:style>
  <w:style w:type="paragraph" w:customStyle="1" w:styleId="FootnoteText">
    <w:name w:val="Footnote Text"/>
    <w:qFormat/>
    <w:rsid w:val="00205446"/>
    <w:pPr>
      <w:jc w:val="left"/>
    </w:pPr>
    <w:rPr>
      <w:sz w:val="18"/>
      <w:szCs w:val="18"/>
    </w:rPr>
  </w:style>
  <w:style w:type="paragraph" w:styleId="a5">
    <w:name w:val="Document Map"/>
    <w:qFormat/>
    <w:rsid w:val="00205446"/>
    <w:pPr>
      <w:pBdr>
        <w:top w:val="none" w:sz="0" w:space="3" w:color="000000"/>
        <w:left w:val="none" w:sz="0" w:space="3" w:color="000000"/>
        <w:bottom w:val="none" w:sz="0" w:space="3" w:color="000000"/>
        <w:right w:val="none" w:sz="0" w:space="3" w:color="000000"/>
        <w:between w:val="none" w:sz="0" w:space="0" w:color="000000"/>
      </w:pBdr>
      <w:shd w:val="clear" w:color="000000" w:fill="000080"/>
    </w:pPr>
  </w:style>
  <w:style w:type="character" w:customStyle="1" w:styleId="Char">
    <w:name w:val="批注框文本 Char"/>
    <w:rsid w:val="00205446"/>
    <w:rPr>
      <w:sz w:val="18"/>
    </w:rPr>
  </w:style>
  <w:style w:type="character" w:customStyle="1" w:styleId="Char0">
    <w:name w:val="页眉 Char"/>
    <w:rsid w:val="00205446"/>
    <w:rPr>
      <w:sz w:val="18"/>
    </w:rPr>
  </w:style>
  <w:style w:type="character" w:customStyle="1" w:styleId="Char1">
    <w:name w:val="页脚 Char"/>
    <w:rsid w:val="00205446"/>
    <w:rPr>
      <w:sz w:val="18"/>
    </w:rPr>
  </w:style>
  <w:style w:type="character" w:styleId="a6">
    <w:name w:val="Placeholder Text"/>
    <w:rsid w:val="00205446"/>
    <w:rPr>
      <w:color w:val="808080"/>
      <w:kern w:val="0"/>
      <w:sz w:val="20"/>
    </w:rPr>
  </w:style>
  <w:style w:type="character" w:customStyle="1" w:styleId="Char2">
    <w:name w:val="脚注文本 Char"/>
    <w:rsid w:val="00205446"/>
    <w:rPr>
      <w:sz w:val="18"/>
    </w:rPr>
  </w:style>
  <w:style w:type="character" w:customStyle="1" w:styleId="FootnoteReference">
    <w:name w:val="Footnote Reference"/>
    <w:rsid w:val="00205446"/>
    <w:rPr>
      <w:kern w:val="0"/>
      <w:sz w:val="20"/>
      <w:vertAlign w:val="superscript"/>
    </w:rPr>
  </w:style>
  <w:style w:type="character" w:styleId="a7">
    <w:name w:val="Hyperlink"/>
    <w:rsid w:val="00205446"/>
    <w:rPr>
      <w:color w:val="0563C1"/>
      <w:kern w:val="0"/>
      <w:sz w:val="20"/>
      <w:u w:val="single"/>
    </w:rPr>
  </w:style>
  <w:style w:type="character" w:styleId="a8">
    <w:name w:val="FollowedHyperlink"/>
    <w:rsid w:val="00205446"/>
    <w:rPr>
      <w:color w:val="954F72"/>
      <w:kern w:val="0"/>
      <w:sz w:val="20"/>
      <w:u w:val="single"/>
    </w:rPr>
  </w:style>
  <w:style w:type="character" w:customStyle="1" w:styleId="Char3">
    <w:name w:val="文档结构图 Char"/>
    <w:rsid w:val="00205446"/>
    <w:rPr>
      <w:kern w:val="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Times New Roman" w:hAnsi="Times New Roman" w:eastAsia="宋体" w:cs="Times New Roman"/>
        <w:kern w:val="1"/>
        <w:sz w:val="21"/>
        <w:szCs w:val="20"/>
        <w:lang w:val="en-us" w:eastAsia="zh-cn" w:bidi="ar-sa"/>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Balloon Text"/>
    <w:qFormat/>
    <w:basedOn w:val=""/>
    <w:rPr>
      <w:sz w:val="18"/>
      <w:szCs w:val="18"/>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sz w:val="18"/>
      <w:szCs w:val="18"/>
    </w:rPr>
  </w:style>
  <w:style w:type="paragraph" w:styleId="">
    <w:name w:val="Footer"/>
    <w:qFormat/>
    <w:basedOn w:val=""/>
    <w:pPr>
      <w:spacing/>
      <w:jc w:val="left"/>
      <w:tabs>
        <w:tab w:val="center" w:pos="4153" w:leader="none"/>
        <w:tab w:val="right" w:pos="8306" w:leader="none"/>
      </w:tabs>
    </w:pPr>
    <w:rPr>
      <w:sz w:val="18"/>
      <w:szCs w:val="18"/>
    </w:rPr>
  </w:style>
  <w:style w:type="paragraph" w:styleId="Default" w:customStyle="1">
    <w:name w:val="Default"/>
    <w:qFormat/>
    <w:pPr>
      <w:spacing/>
      <w:jc w:val="left"/>
    </w:pPr>
    <w:rPr>
      <w:rFonts w:ascii="Cambria Math" w:hAnsi="Cambria Math" w:cs="Cambria Math"/>
      <w:kern w:val="0"/>
      <w:sz w:val="24"/>
      <w:szCs w:val="24"/>
    </w:rPr>
  </w:style>
  <w:style w:type="paragraph" w:styleId="">
    <w:name w:val="List Paragraph"/>
    <w:qFormat/>
    <w:basedOn w:val=""/>
    <w:pPr>
      <w:ind w:firstLine="420"/>
    </w:pPr>
  </w:style>
  <w:style w:type="paragraph" w:styleId="">
    <w:name w:val="Footnote Text"/>
    <w:qFormat/>
    <w:basedOn w:val=""/>
    <w:pPr>
      <w:spacing/>
      <w:jc w:val="left"/>
    </w:pPr>
    <w:rPr>
      <w:sz w:val="18"/>
      <w:szCs w:val="18"/>
    </w:rPr>
  </w:style>
  <w:style w:type="paragraph" w:styleId="">
    <w:name w:val="Document Map"/>
    <w:qFormat/>
    <w:basedOn w:val=""/>
    <w:pPr>
      <w:pBdr>
        <w:top w:val="none" w:sz="0" w:space="3" w:color="000000"/>
        <w:left w:val="none" w:sz="0" w:space="3" w:color="000000"/>
        <w:bottom w:val="none" w:sz="0" w:space="3" w:color="000000"/>
        <w:right w:val="none" w:sz="0" w:space="3" w:color="000000"/>
        <w:between w:val="none" w:sz="0" w:space="0" w:color="000000"/>
      </w:pBdr>
      <w:shd w:val="clear" w:color="000000" w:fill="000080"/>
    </w:pPr>
  </w:style>
  <w:style w:type="character" w:styleId="" w:default="1">
    <w:name w:val="Default Paragraph Font"/>
    <w:rPr>
      <w:kern w:val="0"/>
      <w:sz w:val="20"/>
    </w:rPr>
  </w:style>
  <w:style w:type="character" w:styleId="Char" w:customStyle="1">
    <w:name w:val="批注框文本 Char"/>
    <w:rPr>
      <w:sz w:val="18"/>
    </w:rPr>
  </w:style>
  <w:style w:type="character" w:styleId="Char" w:customStyle="1">
    <w:name w:val="页眉 Char"/>
    <w:rPr>
      <w:sz w:val="18"/>
    </w:rPr>
  </w:style>
  <w:style w:type="character" w:styleId="Char" w:customStyle="1">
    <w:name w:val="页脚 Char"/>
    <w:rPr>
      <w:sz w:val="18"/>
    </w:rPr>
  </w:style>
  <w:style w:type="character" w:styleId="">
    <w:name w:val="Placeholder Text"/>
    <w:rPr>
      <w:color w:val="808080"/>
      <w:kern w:val="0"/>
      <w:sz w:val="20"/>
    </w:rPr>
  </w:style>
  <w:style w:type="character" w:styleId="Char" w:customStyle="1">
    <w:name w:val="脚注文本 Char"/>
    <w:rPr>
      <w:sz w:val="18"/>
    </w:rPr>
  </w:style>
  <w:style w:type="character" w:styleId="">
    <w:name w:val="Footnote Reference"/>
    <w:rPr>
      <w:kern w:val="0"/>
      <w:sz w:val="20"/>
      <w:vertAlign w:val="superscript"/>
    </w:rPr>
  </w:style>
  <w:style w:type="character" w:styleId="">
    <w:name w:val="Hyperlink"/>
    <w:rPr>
      <w:color w:val="0563c1"/>
      <w:kern w:val="0"/>
      <w:sz w:val="20"/>
      <w:u w:color="auto" w:val="single"/>
    </w:rPr>
  </w:style>
  <w:style w:type="character" w:styleId="">
    <w:name w:val="FollowedHyperlink"/>
    <w:rPr>
      <w:color w:val="954f72"/>
      <w:kern w:val="0"/>
      <w:sz w:val="20"/>
      <w:u w:color="auto" w:val="single"/>
    </w:rPr>
  </w:style>
  <w:style w:type="character" w:styleId="Char" w:customStyle="1">
    <w:name w:val="文档结构图 Char"/>
    <w:rPr>
      <w:kern w:val="0"/>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1639</Words>
  <Characters>9348</Characters>
  <Application>Microsoft Office Word</Application>
  <DocSecurity>0</DocSecurity>
  <Lines>77</Lines>
  <Paragraphs>21</Paragraphs>
  <ScaleCrop>false</ScaleCrop>
  <Company/>
  <LinksUpToDate>false</LinksUpToDate>
  <CharactersWithSpaces>10966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cp:revision>
  <dcterms:created xsi:type="dcterms:W3CDTF">2017-10-20T08:21:00Z</dcterms:created>
  <dcterms:modified xsi:type="dcterms:W3CDTF">2017-10-20T08:21:00Z</dcterms:modified>
</cp:coreProperties>
</file>