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31" w:rsidRDefault="00D90AD0">
      <w:pPr>
        <w:jc w:val="center"/>
        <w:rPr>
          <w:sz w:val="30"/>
          <w:szCs w:val="30"/>
        </w:rPr>
      </w:pPr>
      <w:r>
        <w:rPr>
          <w:sz w:val="30"/>
          <w:szCs w:val="30"/>
        </w:rPr>
        <w:t>高级财务管理课程考试改革探析</w:t>
      </w:r>
      <w:r>
        <w:rPr>
          <w:rFonts w:ascii="宋体" w:eastAsia="宋体" w:hAnsi="宋体"/>
          <w:color w:val="FFFFFF"/>
          <w:szCs w:val="44"/>
        </w:rPr>
        <w:footnoteReference w:id="1"/>
      </w:r>
    </w:p>
    <w:p w:rsidR="003B0831" w:rsidRDefault="00D90AD0">
      <w:pPr>
        <w:jc w:val="center"/>
        <w:rPr>
          <w:rFonts w:ascii="宋体" w:hAnsi="宋体"/>
          <w:sz w:val="18"/>
          <w:szCs w:val="18"/>
        </w:rPr>
      </w:pPr>
      <w:r>
        <w:rPr>
          <w:rFonts w:ascii="宋体" w:hAnsi="宋体" w:hint="eastAsia"/>
          <w:sz w:val="18"/>
          <w:szCs w:val="18"/>
        </w:rPr>
        <w:t>李益娟</w:t>
      </w:r>
      <w:r>
        <w:rPr>
          <w:sz w:val="18"/>
          <w:szCs w:val="18"/>
          <w:vertAlign w:val="superscript"/>
        </w:rPr>
        <w:t>1</w:t>
      </w:r>
      <w:r>
        <w:rPr>
          <w:rFonts w:ascii="宋体" w:hAnsi="宋体"/>
          <w:sz w:val="18"/>
          <w:szCs w:val="18"/>
          <w:vertAlign w:val="superscript"/>
        </w:rPr>
        <w:t>、</w:t>
      </w:r>
      <w:r>
        <w:rPr>
          <w:sz w:val="18"/>
          <w:szCs w:val="18"/>
          <w:vertAlign w:val="superscript"/>
        </w:rPr>
        <w:t>2</w:t>
      </w:r>
      <w:r>
        <w:rPr>
          <w:rFonts w:ascii="宋体" w:hAnsi="宋体" w:hint="eastAsia"/>
          <w:sz w:val="18"/>
          <w:szCs w:val="18"/>
          <w:vertAlign w:val="superscript"/>
        </w:rPr>
        <w:t xml:space="preserve"> </w:t>
      </w:r>
    </w:p>
    <w:p w:rsidR="003B0831" w:rsidRDefault="00D90AD0">
      <w:pPr>
        <w:ind w:firstLine="2326"/>
        <w:rPr>
          <w:rFonts w:ascii="宋体" w:hAnsi="宋体"/>
          <w:sz w:val="18"/>
          <w:szCs w:val="18"/>
        </w:rPr>
      </w:pPr>
      <w:r>
        <w:rPr>
          <w:rFonts w:ascii="宋体" w:hAnsi="宋体" w:hint="eastAsia"/>
          <w:sz w:val="18"/>
          <w:szCs w:val="18"/>
        </w:rPr>
        <w:t>(</w:t>
      </w:r>
      <w:r>
        <w:rPr>
          <w:sz w:val="18"/>
          <w:szCs w:val="18"/>
        </w:rPr>
        <w:t xml:space="preserve">1. </w:t>
      </w:r>
      <w:r>
        <w:rPr>
          <w:rFonts w:ascii="宋体" w:hAnsi="宋体" w:hint="eastAsia"/>
          <w:sz w:val="18"/>
          <w:szCs w:val="18"/>
        </w:rPr>
        <w:t>盐城工学院管理学院，江苏盐城</w:t>
      </w:r>
      <w:r>
        <w:rPr>
          <w:rFonts w:ascii="宋体" w:hAnsi="宋体" w:hint="eastAsia"/>
          <w:sz w:val="18"/>
          <w:szCs w:val="18"/>
        </w:rPr>
        <w:t xml:space="preserve">  </w:t>
      </w:r>
      <w:r>
        <w:rPr>
          <w:sz w:val="18"/>
          <w:szCs w:val="18"/>
        </w:rPr>
        <w:t>224051</w:t>
      </w:r>
      <w:r>
        <w:rPr>
          <w:rFonts w:ascii="宋体" w:hAnsi="宋体" w:hint="eastAsia"/>
          <w:sz w:val="18"/>
          <w:szCs w:val="18"/>
        </w:rPr>
        <w:t>，</w:t>
      </w:r>
    </w:p>
    <w:p w:rsidR="003B0831" w:rsidRDefault="00D90AD0">
      <w:pPr>
        <w:ind w:firstLine="2430"/>
        <w:rPr>
          <w:rFonts w:ascii="宋体" w:hAnsi="宋体"/>
          <w:sz w:val="18"/>
          <w:szCs w:val="18"/>
        </w:rPr>
      </w:pPr>
      <w:r>
        <w:rPr>
          <w:sz w:val="18"/>
          <w:szCs w:val="18"/>
        </w:rPr>
        <w:t>2.</w:t>
      </w:r>
      <w:r>
        <w:rPr>
          <w:rFonts w:ascii="宋体" w:hAnsi="宋体" w:hint="eastAsia"/>
          <w:sz w:val="18"/>
          <w:szCs w:val="18"/>
        </w:rPr>
        <w:t xml:space="preserve"> </w:t>
      </w:r>
      <w:r>
        <w:rPr>
          <w:rFonts w:ascii="宋体" w:hAnsi="宋体" w:hint="eastAsia"/>
          <w:sz w:val="18"/>
          <w:szCs w:val="18"/>
        </w:rPr>
        <w:t>苏州大学商学院，</w:t>
      </w:r>
      <w:r>
        <w:rPr>
          <w:rFonts w:ascii="宋体" w:hAnsi="宋体" w:hint="eastAsia"/>
          <w:sz w:val="18"/>
          <w:szCs w:val="18"/>
        </w:rPr>
        <w:t xml:space="preserve">    </w:t>
      </w:r>
      <w:r>
        <w:rPr>
          <w:rFonts w:ascii="宋体" w:hAnsi="宋体" w:hint="eastAsia"/>
          <w:sz w:val="18"/>
          <w:szCs w:val="18"/>
        </w:rPr>
        <w:t>江苏苏州</w:t>
      </w:r>
      <w:r>
        <w:rPr>
          <w:rFonts w:ascii="宋体" w:hAnsi="宋体" w:hint="eastAsia"/>
          <w:sz w:val="18"/>
          <w:szCs w:val="18"/>
        </w:rPr>
        <w:t xml:space="preserve"> </w:t>
      </w:r>
      <w:r>
        <w:rPr>
          <w:sz w:val="18"/>
          <w:szCs w:val="18"/>
        </w:rPr>
        <w:t xml:space="preserve"> 215006</w:t>
      </w:r>
      <w:r>
        <w:rPr>
          <w:rFonts w:ascii="宋体" w:hAnsi="宋体" w:hint="eastAsia"/>
          <w:sz w:val="18"/>
          <w:szCs w:val="18"/>
        </w:rPr>
        <w:t xml:space="preserve"> )</w:t>
      </w:r>
    </w:p>
    <w:p w:rsidR="003B0831" w:rsidRDefault="003B0831">
      <w:pPr>
        <w:ind w:firstLine="2430"/>
        <w:rPr>
          <w:rFonts w:ascii="宋体" w:hAnsi="宋体"/>
          <w:sz w:val="18"/>
          <w:szCs w:val="18"/>
        </w:rPr>
      </w:pPr>
    </w:p>
    <w:p w:rsidR="003B0831" w:rsidRDefault="00D90AD0">
      <w:pPr>
        <w:rPr>
          <w:rFonts w:ascii="宋体" w:hAnsi="宋体"/>
          <w:szCs w:val="21"/>
        </w:rPr>
      </w:pPr>
      <w:r>
        <w:rPr>
          <w:rFonts w:ascii="宋体" w:hAnsi="宋体" w:hint="eastAsia"/>
          <w:szCs w:val="21"/>
        </w:rPr>
        <w:t>摘要：高级财务管理课程是财务管理专业主修的应用理论课程之一，研究内容突破了一般的财务管理假设，体现出“高、专、深”的特点，在教学上体现为教师难教和学生难学。课程考试具有导向作用，改革原有的传统考试模式为形成性考核和终极性考核相结合的方式能够有效引导学生自主学习，和有利于教师推进系统性和前沿性知识的传授，促进教学效果的提高。</w:t>
      </w:r>
    </w:p>
    <w:p w:rsidR="003B0831" w:rsidRDefault="00D90AD0">
      <w:pPr>
        <w:rPr>
          <w:rFonts w:ascii="宋体" w:eastAsia="宋体" w:hAnsi="宋体"/>
          <w:szCs w:val="21"/>
        </w:rPr>
      </w:pPr>
      <w:r>
        <w:rPr>
          <w:rFonts w:ascii="宋体" w:hAnsi="宋体" w:hint="eastAsia"/>
          <w:szCs w:val="21"/>
        </w:rPr>
        <w:t>关键词：考试改革；高级财务管理；形成性考核；终极性考核</w:t>
      </w:r>
    </w:p>
    <w:p w:rsidR="003B0831" w:rsidRDefault="00D90AD0">
      <w:pPr>
        <w:spacing w:line="360" w:lineRule="exact"/>
        <w:ind w:firstLine="420"/>
      </w:pPr>
      <w:r>
        <w:t>一、引言</w:t>
      </w:r>
    </w:p>
    <w:p w:rsidR="003B0831" w:rsidRDefault="00D90AD0">
      <w:pPr>
        <w:spacing w:line="360" w:lineRule="exact"/>
        <w:ind w:firstLine="420"/>
      </w:pPr>
      <w:r>
        <w:t>高级财务管理是高校财务管理专业的专业必修课之一</w:t>
      </w:r>
      <w:r>
        <w:t>，是在学生修完《会计学基础》、《财务管理》、《中级财务会计》、《经济学》、《公司治理》和《管理统计》等课程的基础上修学的更高层次的财务管理理论课程，不同于财务管理课程，高级财务管理是对具体财务管理环境的应用研究，理论性较强。要求学生掌握现代财务的基本理论和基本研究方法，掌握财务管理的理论结构与理财假设，了解现代财务理论的研究现状，具备发现问题、分析问题和解决问题的能力和具备科学研究的基本能力。</w:t>
      </w:r>
    </w:p>
    <w:p w:rsidR="003B0831" w:rsidRDefault="00D90AD0">
      <w:pPr>
        <w:spacing w:line="360" w:lineRule="exact"/>
        <w:ind w:firstLine="420"/>
      </w:pPr>
      <w:r>
        <w:t>由于对综合应用知识的运用和融会贯通要求较高，学生在学习过程中普遍害怕这门课，导致在学习过程中信心不足，难以在课堂的</w:t>
      </w:r>
      <w:r>
        <w:t>学习中真正领会高级财务管理理论精髓。因此，现实状况要求必须对高级财务管理教学内容、教学方法和课程考试等方面进行全新的改革和创新。通过对近几年来的《高级财务管理》课程考试结果的系统分析，发现传统的闭卷并采用选择题、判断题、简答题和小型案例分析题的课程考试方式，已经越来越难以激发学生对该门课程的学习兴趣，课堂教学气氛沉闷，教学目标难以实现。尽管老师们从教学方法和教学手段上提出了各种各样的改革措施，但这一状况并没有得到实质性的改善。因检验学生学习效果的有效手段是课程考试，所以，以目标为导向的课程考试改革成为新的《</w:t>
      </w:r>
      <w:r>
        <w:t>高级财务管理》教学改革方向。</w:t>
      </w:r>
    </w:p>
    <w:p w:rsidR="003B0831" w:rsidRDefault="00D90AD0">
      <w:pPr>
        <w:spacing w:line="360" w:lineRule="exact"/>
        <w:ind w:firstLine="420"/>
      </w:pPr>
      <w:r>
        <w:t>课程考试是课程教学的指挥棒，是教学过程中的重要环节，课程考试内容决定了课堂教学内容的广度和深度，考试方法改革对教学具有导向性。因此，改革高级财务管理课程考试形式和内容有助于从根本上改变现行课堂教学中所存在的教师觉得难教和学生觉得难学这一现状。但新的课程考试模式应该体现对学习过程的考核和对应用能力的评价，并需要解决关键性的问题。</w:t>
      </w:r>
    </w:p>
    <w:p w:rsidR="003B0831" w:rsidRDefault="00D90AD0">
      <w:pPr>
        <w:spacing w:line="360" w:lineRule="exact"/>
        <w:ind w:firstLine="420"/>
      </w:pPr>
      <w:r>
        <w:t>二、课程考试改革中需解决的关键问题</w:t>
      </w:r>
    </w:p>
    <w:p w:rsidR="003B0831" w:rsidRDefault="00D90AD0">
      <w:pPr>
        <w:spacing w:line="360" w:lineRule="exact"/>
        <w:ind w:firstLine="420"/>
      </w:pPr>
      <w:r>
        <w:t>《高级财务管理》课程考试改革中，关键性问题的解决与否对改革的成效具有影响，高级财务管理课程教学中有两个关键性问题需要</w:t>
      </w:r>
      <w:r>
        <w:t>解决：（</w:t>
      </w:r>
      <w:r>
        <w:t>1</w:t>
      </w:r>
      <w:r>
        <w:t>）如何解决课程考核的内容与课程体系的联系。因财务管理专业的课程体系性和关联性较强，前修课程《财务管理》讲述的是一般财务管理理论及其实务，而《高级财务管理》则是在一般财务管理理论的基础上，</w:t>
      </w:r>
      <w:r>
        <w:lastRenderedPageBreak/>
        <w:t>针对不同财务管理环境的拓展研究，两者之间存在紧密的概念关联性。因此，在《高级财务管理》的课程考核中不能只考核财务管理的基本理论，也不能脱离企业所处的实际环境，而是应该理论联系实际，要求学生能够应用理论针对个案进行理论分析，以达到课程教学的真正的目的；（</w:t>
      </w:r>
      <w:r>
        <w:t>2</w:t>
      </w:r>
      <w:r>
        <w:t>）如何解决课程教学时间有限、教学内容多和教学任务重的问题。课程</w:t>
      </w:r>
      <w:r>
        <w:t>教学中，学生的课堂互动反馈是衡量教学效果的重要标准，但《高级财务管理》课程教学内容较多，每个专题内容所涉及的研究主体和研究环境各不相同，且每一个专题教学所需时间较长，要在课程教学中完成教学大纲要求的基本知识点有一定难度，教学任务重。如何在有限的教学课时中，有目的、有计划和有组织地引导学生自觉学习，提高学生的理论联系实际的分析能力，并在课程考核中有效检验学生的应用能力是解决问题的关键。</w:t>
      </w:r>
    </w:p>
    <w:p w:rsidR="003B0831" w:rsidRDefault="00D90AD0">
      <w:pPr>
        <w:spacing w:line="360" w:lineRule="exact"/>
        <w:ind w:firstLine="420"/>
      </w:pPr>
      <w:r>
        <w:t>三、具体实施方案</w:t>
      </w:r>
    </w:p>
    <w:p w:rsidR="003B0831" w:rsidRDefault="00D90AD0">
      <w:pPr>
        <w:spacing w:line="360" w:lineRule="exact"/>
        <w:ind w:firstLine="420"/>
      </w:pPr>
      <w:r>
        <w:t>盐城工学院管理学院在高级财务管理课程教学改革中，借鉴了国内外成功的课程考试改革经验。以创新和改革课程教学模式和课程考核模式，树立现代教育理念，提高学生学习的积极性和主动性，引导学生高质量地完成各个学习环节为根本目的，结合形成性考核和终结性考核，从提高学生综合素质和能力的角度出发，将教学质量实实在在地落实到教学过程中。</w:t>
      </w:r>
    </w:p>
    <w:p w:rsidR="003B0831" w:rsidRDefault="00D90AD0">
      <w:pPr>
        <w:spacing w:line="360" w:lineRule="exact"/>
        <w:ind w:firstLine="420"/>
      </w:pPr>
      <w:r>
        <w:t>（一）形成性考核</w:t>
      </w:r>
    </w:p>
    <w:p w:rsidR="003B0831" w:rsidRDefault="00D90AD0">
      <w:pPr>
        <w:spacing w:line="360" w:lineRule="exact"/>
        <w:ind w:firstLine="420"/>
      </w:pPr>
      <w:r>
        <w:rPr>
          <w:rFonts w:eastAsia="宋体" w:hint="eastAsia"/>
        </w:rPr>
        <w:t>形成性考核是</w:t>
      </w:r>
      <w:r>
        <w:t>《高级财务管理》</w:t>
      </w:r>
      <w:r>
        <w:rPr>
          <w:rFonts w:eastAsia="宋体" w:hint="eastAsia"/>
        </w:rPr>
        <w:t>课程考核的重要组成部分，是检验学生学习效果的必不可少的环节和手段，占总成绩的</w:t>
      </w:r>
      <w:r>
        <w:rPr>
          <w:rFonts w:eastAsia="宋体" w:hint="eastAsia"/>
        </w:rPr>
        <w:t>60%</w:t>
      </w:r>
      <w:r>
        <w:rPr>
          <w:rFonts w:eastAsia="宋体" w:hint="eastAsia"/>
        </w:rPr>
        <w:t>，具体由考勤、平时作业、课堂表现和课堂小随笔四个部分组成，分值分</w:t>
      </w:r>
      <w:r>
        <w:rPr>
          <w:rFonts w:eastAsia="宋体" w:hint="eastAsia"/>
        </w:rPr>
        <w:t>别占形成性考核分值的</w:t>
      </w:r>
      <w:r>
        <w:rPr>
          <w:rFonts w:eastAsia="宋体" w:hint="eastAsia"/>
        </w:rPr>
        <w:t>20%</w:t>
      </w:r>
      <w:r>
        <w:rPr>
          <w:rFonts w:eastAsia="宋体" w:hint="eastAsia"/>
        </w:rPr>
        <w:t>、</w:t>
      </w:r>
      <w:r>
        <w:rPr>
          <w:rFonts w:eastAsia="宋体" w:hint="eastAsia"/>
        </w:rPr>
        <w:t>20%</w:t>
      </w:r>
      <w:r>
        <w:rPr>
          <w:rFonts w:eastAsia="宋体" w:hint="eastAsia"/>
        </w:rPr>
        <w:t>、</w:t>
      </w:r>
      <w:r>
        <w:rPr>
          <w:rFonts w:eastAsia="宋体" w:hint="eastAsia"/>
        </w:rPr>
        <w:t>30%</w:t>
      </w:r>
      <w:r>
        <w:rPr>
          <w:rFonts w:eastAsia="宋体" w:hint="eastAsia"/>
        </w:rPr>
        <w:t>和</w:t>
      </w:r>
      <w:r>
        <w:rPr>
          <w:rFonts w:eastAsia="宋体" w:hint="eastAsia"/>
        </w:rPr>
        <w:t>30%</w:t>
      </w:r>
      <w:r>
        <w:rPr>
          <w:rFonts w:eastAsia="宋体" w:hint="eastAsia"/>
        </w:rPr>
        <w:t>。考勤方面，严格参照盐城工学院教学管理规定；平时作业以专题性的论述为主，要求学生独立完成，并形成自己独特的观点，作业质量分</w:t>
      </w:r>
      <w:r>
        <w:rPr>
          <w:rFonts w:eastAsia="宋体" w:hint="eastAsia"/>
        </w:rPr>
        <w:t>A</w:t>
      </w:r>
      <w:r>
        <w:rPr>
          <w:rFonts w:eastAsia="宋体" w:hint="eastAsia"/>
        </w:rPr>
        <w:t>、</w:t>
      </w:r>
      <w:r>
        <w:rPr>
          <w:rFonts w:eastAsia="宋体" w:hint="eastAsia"/>
        </w:rPr>
        <w:t>B</w:t>
      </w:r>
      <w:r>
        <w:rPr>
          <w:rFonts w:eastAsia="宋体" w:hint="eastAsia"/>
        </w:rPr>
        <w:t>、</w:t>
      </w:r>
      <w:r>
        <w:rPr>
          <w:rFonts w:eastAsia="宋体" w:hint="eastAsia"/>
        </w:rPr>
        <w:t>C</w:t>
      </w:r>
      <w:r>
        <w:rPr>
          <w:rFonts w:eastAsia="宋体" w:hint="eastAsia"/>
        </w:rPr>
        <w:t>三个档次；课堂表现为应用基本知识对实际案例进行讨论，具体成绩的评定依据学生分析问题的视角、论据的引证和论点的点明等方面，提倡多角度的论证和分析；课堂小随笔是针对高级财务管理课程的性质及教学目的，利用</w:t>
      </w:r>
      <w:r>
        <w:t>2</w:t>
      </w:r>
      <w:r>
        <w:t>个</w:t>
      </w:r>
      <w:r>
        <w:rPr>
          <w:rFonts w:eastAsia="宋体" w:hint="eastAsia"/>
        </w:rPr>
        <w:t>课时，在课堂上要求学生针对《市场化进程中管理层收购对企业的影响》和《银企关系视角下中小企业融资渠道分析》形成不少于</w:t>
      </w:r>
      <w:r>
        <w:rPr>
          <w:rFonts w:eastAsia="宋体" w:hint="eastAsia"/>
        </w:rPr>
        <w:t>800</w:t>
      </w:r>
      <w:r>
        <w:rPr>
          <w:rFonts w:eastAsia="宋体" w:hint="eastAsia"/>
        </w:rPr>
        <w:t>字的小型</w:t>
      </w:r>
      <w:r>
        <w:rPr>
          <w:rFonts w:eastAsia="宋体" w:hint="eastAsia"/>
        </w:rPr>
        <w:t>论文写作，要求有明确的观点和充分的论证。通过形成性考核，增强学生综合运用所学知识分析和解决问题的创新能力，提高学生的学习兴趣，引导学生按照教学要求和自主学习计划完成学习任务，推进对学生综合素质的训练和思维能力的提高。同时，使学生的学习由以往的背书型向思考型转变、由考试突击型向平时深入探讨型转变，巩固基本概念和</w:t>
      </w:r>
      <w:r>
        <w:t>加强对</w:t>
      </w:r>
      <w:r>
        <w:rPr>
          <w:rFonts w:eastAsia="宋体" w:hint="eastAsia"/>
        </w:rPr>
        <w:t>基本原理的理解和掌握，熟悉高级财务管理的管理战略和方法的应用，使</w:t>
      </w:r>
      <w:r>
        <w:t>学生的财务</w:t>
      </w:r>
      <w:r>
        <w:rPr>
          <w:rFonts w:eastAsia="宋体" w:hint="eastAsia"/>
        </w:rPr>
        <w:t>管理能力</w:t>
      </w:r>
      <w:r>
        <w:t>能够</w:t>
      </w:r>
      <w:r>
        <w:rPr>
          <w:rFonts w:eastAsia="宋体" w:hint="eastAsia"/>
        </w:rPr>
        <w:t>提升到一个新的层</w:t>
      </w:r>
      <w:r>
        <w:t>次</w:t>
      </w:r>
      <w:r>
        <w:rPr>
          <w:rFonts w:eastAsia="宋体" w:hint="eastAsia"/>
        </w:rPr>
        <w:t>。</w:t>
      </w:r>
    </w:p>
    <w:p w:rsidR="003B0831" w:rsidRDefault="00D90AD0">
      <w:pPr>
        <w:spacing w:line="360" w:lineRule="exact"/>
        <w:ind w:firstLine="420"/>
        <w:rPr>
          <w:rFonts w:eastAsia="宋体"/>
        </w:rPr>
      </w:pPr>
      <w:r>
        <w:t>（二）终极性考核</w:t>
      </w:r>
    </w:p>
    <w:p w:rsidR="003B0831" w:rsidRDefault="00D90AD0">
      <w:pPr>
        <w:spacing w:line="360" w:lineRule="exact"/>
        <w:ind w:firstLine="420"/>
        <w:rPr>
          <w:rFonts w:eastAsia="宋体"/>
        </w:rPr>
      </w:pPr>
      <w:r>
        <w:rPr>
          <w:rFonts w:eastAsia="宋体" w:hint="eastAsia"/>
        </w:rPr>
        <w:t>终结性考核是课程结束后，为检验学生对高级财务管理基本理论的理解和掌握，</w:t>
      </w:r>
      <w:r>
        <w:rPr>
          <w:rFonts w:eastAsia="宋体" w:hint="eastAsia"/>
        </w:rPr>
        <w:t>和对高级财务管理战略、方法的应用和各个前沿专题的掌握，而进行的以课程论文为形式的考核，占总成绩的</w:t>
      </w:r>
      <w:r>
        <w:rPr>
          <w:rFonts w:eastAsia="宋体" w:hint="eastAsia"/>
        </w:rPr>
        <w:t>40%</w:t>
      </w:r>
      <w:r>
        <w:rPr>
          <w:rFonts w:eastAsia="宋体" w:hint="eastAsia"/>
        </w:rPr>
        <w:t>。具体要求在课程学习的专题范围内选择某一个主题，结合学生自己的知识积累，完成不少于</w:t>
      </w:r>
      <w:r>
        <w:rPr>
          <w:rFonts w:eastAsia="宋体" w:hint="eastAsia"/>
        </w:rPr>
        <w:t>3000</w:t>
      </w:r>
      <w:r>
        <w:rPr>
          <w:rFonts w:eastAsia="宋体" w:hint="eastAsia"/>
        </w:rPr>
        <w:t>字的课程论文，要求突出对现有文献的述评。</w:t>
      </w:r>
    </w:p>
    <w:p w:rsidR="003B0831" w:rsidRDefault="00D90AD0">
      <w:pPr>
        <w:spacing w:line="360" w:lineRule="exact"/>
        <w:ind w:firstLine="420"/>
      </w:pPr>
      <w:r>
        <w:t>四、高级财务管理课程考试改革成效</w:t>
      </w:r>
    </w:p>
    <w:p w:rsidR="003B0831" w:rsidRDefault="00D90AD0">
      <w:pPr>
        <w:spacing w:line="360" w:lineRule="exact"/>
        <w:ind w:firstLine="420"/>
      </w:pPr>
      <w:r>
        <w:t>通过课程考试改革，以课堂小随笔为形式的形成性考核和课程论文为形式的终极性考</w:t>
      </w:r>
      <w:r>
        <w:lastRenderedPageBreak/>
        <w:t>核为主要考核形式的新的考核方式。有目的、有计划和有组织的对学生进行学习引导，课堂的提问和回答互动内容明显增多，学生的学习主动性和积极性得到极大提高，学习兴趣浓厚，理论联系</w:t>
      </w:r>
      <w:r>
        <w:t>实际的能力得到提高，课堂教学效果明显得到改善。具体表现在如下四个方面：</w:t>
      </w:r>
    </w:p>
    <w:p w:rsidR="003B0831" w:rsidRDefault="00D90AD0">
      <w:pPr>
        <w:spacing w:line="360" w:lineRule="exact"/>
        <w:ind w:firstLine="420"/>
      </w:pPr>
      <w:r>
        <w:t>1</w:t>
      </w:r>
      <w:r>
        <w:t>、改变了传统教学的</w:t>
      </w:r>
      <w:r>
        <w:t>“</w:t>
      </w:r>
      <w:r>
        <w:t>单向</w:t>
      </w:r>
      <w:r>
        <w:t>”</w:t>
      </w:r>
      <w:r>
        <w:t>传导模式。通过形成性考核，变填鸭式的教师</w:t>
      </w:r>
      <w:r>
        <w:rPr>
          <w:rFonts w:ascii="Cambria Math" w:hAnsi="Cambria Math"/>
        </w:rPr>
        <w:t>学生的教学模式为</w:t>
      </w:r>
      <w:r>
        <w:t>教师</w:t>
      </w:r>
      <w:r>
        <w:rPr>
          <w:rFonts w:ascii="Cambria Math" w:hAnsi="Cambria Math"/>
        </w:rPr>
        <w:t>学生</w:t>
      </w:r>
      <w:r>
        <w:t>，再到学生</w:t>
      </w:r>
      <w:r>
        <w:rPr>
          <w:rFonts w:ascii="Cambria Math" w:hAnsi="Cambria Math" w:hint="eastAsia"/>
        </w:rPr>
        <w:t>教师</w:t>
      </w:r>
      <w:r>
        <w:t>的互动模式，变传统的接受学习为探索型学习，变教师为课堂中心为学生为课堂中心，使得教师能够高效掌握学生学习的主动性和学习效果。</w:t>
      </w:r>
    </w:p>
    <w:p w:rsidR="003B0831" w:rsidRDefault="00D90AD0">
      <w:pPr>
        <w:spacing w:line="360" w:lineRule="exact"/>
        <w:ind w:firstLine="420"/>
      </w:pPr>
      <w:r>
        <w:t>2</w:t>
      </w:r>
      <w:r>
        <w:t>、教学方式得到极大的改善。形成性考核极大地发挥了教学的导向性作用，使得学生在课堂学习中不仅注重基本知识的积累，更注重分析问题能力和解决问题能力的提升。如此，教师就能够在教学中推进系统性和前沿性知识的传授，因</w:t>
      </w:r>
      <w:r>
        <w:t>而能够更好地突出分析问题的思路和方法的讲授。</w:t>
      </w:r>
    </w:p>
    <w:p w:rsidR="003B0831" w:rsidRDefault="00D90AD0">
      <w:pPr>
        <w:spacing w:line="360" w:lineRule="exact"/>
        <w:ind w:firstLine="420"/>
      </w:pPr>
      <w:r>
        <w:t>3</w:t>
      </w:r>
      <w:r>
        <w:t>、学生的学习效率得到极大的提高。形成性考核有效化解了传统考核方式下学生平时不学习，考试搞突击，表面反映学习情况良好，实质并没有系统掌握课程的理论精髓的教学难题，使得学生能够做到连续性学习，在分析问题和解决问题的过程中，逐步消化吸收所学知识，提高了学习效率。期末的课程论文则又在更高层次上要求学生将所学基本知识，基本原理应用于企业实际，并以一定的思路形式和应用恰当的研究方法呈现学生对某一理论的理解，较好地反映了学生对基本理论和研究方法的掌握程度和对实际问题的分析和</w:t>
      </w:r>
      <w:r>
        <w:t>解决能力。</w:t>
      </w:r>
    </w:p>
    <w:p w:rsidR="003B0831" w:rsidRDefault="00D90AD0">
      <w:pPr>
        <w:spacing w:line="360" w:lineRule="exact"/>
      </w:pPr>
      <w:r>
        <w:t>参考文献：</w:t>
      </w:r>
    </w:p>
    <w:p w:rsidR="003B0831" w:rsidRDefault="00D90AD0">
      <w:pPr>
        <w:numPr>
          <w:ilvl w:val="0"/>
          <w:numId w:val="1"/>
        </w:numPr>
        <w:spacing w:line="360" w:lineRule="exact"/>
        <w:ind w:left="420" w:hanging="420"/>
      </w:pPr>
      <w:r>
        <w:t>成榕，于慧玲．高校经管类专业课程考试改革研究</w:t>
      </w:r>
      <w:r>
        <w:t>—</w:t>
      </w:r>
      <w:r>
        <w:t>以黑河学院为例［</w:t>
      </w:r>
      <w:r>
        <w:t>J</w:t>
      </w:r>
      <w:r>
        <w:t>］</w:t>
      </w:r>
      <w:r>
        <w:t>.</w:t>
      </w:r>
      <w:r>
        <w:t>教育探索，</w:t>
      </w:r>
      <w:r>
        <w:t>2014</w:t>
      </w:r>
      <w:r>
        <w:t>（</w:t>
      </w:r>
      <w:r>
        <w:t>10</w:t>
      </w:r>
      <w:r>
        <w:t>）：</w:t>
      </w:r>
      <w:r>
        <w:t>16-18.</w:t>
      </w:r>
    </w:p>
    <w:p w:rsidR="003B0831" w:rsidRDefault="00D90AD0">
      <w:pPr>
        <w:numPr>
          <w:ilvl w:val="0"/>
          <w:numId w:val="1"/>
        </w:numPr>
        <w:spacing w:line="360" w:lineRule="exact"/>
        <w:ind w:left="420" w:hanging="420"/>
      </w:pPr>
      <w:r>
        <w:t>肖立．对《市场营销学》课程考试改革的探索［</w:t>
      </w:r>
      <w:r>
        <w:t>J</w:t>
      </w:r>
      <w:r>
        <w:t>］</w:t>
      </w:r>
      <w:r>
        <w:t>.</w:t>
      </w:r>
      <w:r>
        <w:t>教育教学论坛，</w:t>
      </w:r>
      <w:r>
        <w:t>2014</w:t>
      </w:r>
      <w:r>
        <w:t>（</w:t>
      </w:r>
      <w:r>
        <w:t>6</w:t>
      </w:r>
      <w:r>
        <w:t>）：</w:t>
      </w:r>
      <w:r>
        <w:t>208-209.</w:t>
      </w:r>
    </w:p>
    <w:p w:rsidR="003B0831" w:rsidRDefault="00D90AD0">
      <w:pPr>
        <w:numPr>
          <w:ilvl w:val="0"/>
          <w:numId w:val="1"/>
        </w:numPr>
        <w:spacing w:line="360" w:lineRule="exact"/>
        <w:ind w:left="420" w:hanging="420"/>
      </w:pPr>
      <w:r>
        <w:t>汪要文．大学高级财务管理教学问题研究［</w:t>
      </w:r>
      <w:r>
        <w:t>J</w:t>
      </w:r>
      <w:r>
        <w:t>］</w:t>
      </w:r>
      <w:r>
        <w:t>.</w:t>
      </w:r>
      <w:r>
        <w:t>安阳师范学院学报，</w:t>
      </w:r>
      <w:r>
        <w:t>2010</w:t>
      </w:r>
      <w:r>
        <w:t>（</w:t>
      </w:r>
      <w:r>
        <w:t>4</w:t>
      </w:r>
      <w:r>
        <w:t>）：</w:t>
      </w:r>
      <w:r>
        <w:t>30-32.</w:t>
      </w:r>
    </w:p>
    <w:p w:rsidR="003B0831" w:rsidRDefault="00D90AD0">
      <w:pPr>
        <w:numPr>
          <w:ilvl w:val="0"/>
          <w:numId w:val="1"/>
        </w:numPr>
        <w:spacing w:line="360" w:lineRule="exact"/>
        <w:ind w:left="420" w:hanging="420"/>
      </w:pPr>
      <w:r>
        <w:t>张国政，姚珍．理论与实践并行的</w:t>
      </w:r>
      <w:r>
        <w:t>“</w:t>
      </w:r>
      <w:r>
        <w:t>高级财务管理</w:t>
      </w:r>
      <w:r>
        <w:t>”</w:t>
      </w:r>
      <w:r>
        <w:t>课程教学改革［</w:t>
      </w:r>
      <w:r>
        <w:t>J</w:t>
      </w:r>
      <w:r>
        <w:t>］</w:t>
      </w:r>
      <w:r>
        <w:t>.</w:t>
      </w:r>
      <w:r>
        <w:t>科教导刊，</w:t>
      </w:r>
      <w:r>
        <w:t>2016</w:t>
      </w:r>
      <w:r>
        <w:t>（</w:t>
      </w:r>
      <w:r>
        <w:t>5</w:t>
      </w:r>
      <w:r>
        <w:t>）：</w:t>
      </w:r>
      <w:r>
        <w:t>81-82.</w:t>
      </w:r>
    </w:p>
    <w:p w:rsidR="003B0831" w:rsidRDefault="00D90AD0">
      <w:pPr>
        <w:numPr>
          <w:ilvl w:val="0"/>
          <w:numId w:val="1"/>
        </w:numPr>
        <w:spacing w:line="360" w:lineRule="exact"/>
        <w:ind w:left="420" w:hanging="420"/>
      </w:pPr>
      <w:r>
        <w:t>张丽琨．基于高级财务管理</w:t>
      </w:r>
      <w:r>
        <w:t>“</w:t>
      </w:r>
      <w:r>
        <w:t>高级</w:t>
      </w:r>
      <w:r>
        <w:t>”</w:t>
      </w:r>
      <w:r>
        <w:t>性的课程体系构建与完善［</w:t>
      </w:r>
      <w:r>
        <w:t>J</w:t>
      </w:r>
      <w:r>
        <w:t>］</w:t>
      </w:r>
      <w:r>
        <w:t>.</w:t>
      </w:r>
      <w:r>
        <w:t>财会教育，</w:t>
      </w:r>
      <w:r>
        <w:t>2012</w:t>
      </w:r>
      <w:r>
        <w:t>（</w:t>
      </w:r>
      <w:r>
        <w:t>7</w:t>
      </w:r>
      <w:r>
        <w:t>）：</w:t>
      </w:r>
      <w:r>
        <w:t>128-129.</w:t>
      </w: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3B0831">
      <w:pPr>
        <w:spacing w:line="360" w:lineRule="exact"/>
      </w:pPr>
    </w:p>
    <w:p w:rsidR="003B0831" w:rsidRDefault="00D90AD0">
      <w:pPr>
        <w:spacing w:line="360" w:lineRule="exact"/>
      </w:pPr>
      <w:r>
        <w:t>作者简介：</w:t>
      </w:r>
    </w:p>
    <w:p w:rsidR="003B0831" w:rsidRDefault="00D90AD0">
      <w:pPr>
        <w:spacing w:line="360" w:lineRule="exact"/>
      </w:pPr>
      <w:r>
        <w:t>姓名：李益娟</w:t>
      </w:r>
    </w:p>
    <w:p w:rsidR="003B0831" w:rsidRDefault="00D90AD0">
      <w:pPr>
        <w:spacing w:line="360" w:lineRule="exact"/>
      </w:pPr>
      <w:r>
        <w:t>出生年月：</w:t>
      </w:r>
      <w:r>
        <w:t>1974</w:t>
      </w:r>
      <w:r>
        <w:t>年</w:t>
      </w:r>
      <w:r>
        <w:t>9</w:t>
      </w:r>
      <w:r>
        <w:t>月</w:t>
      </w:r>
    </w:p>
    <w:p w:rsidR="003B0831" w:rsidRDefault="00D90AD0">
      <w:pPr>
        <w:spacing w:line="360" w:lineRule="exact"/>
      </w:pPr>
      <w:r>
        <w:t>工作单位：盐城工学院</w:t>
      </w:r>
    </w:p>
    <w:p w:rsidR="003B0831" w:rsidRDefault="00D90AD0">
      <w:pPr>
        <w:spacing w:line="360" w:lineRule="exact"/>
      </w:pPr>
      <w:r>
        <w:t>职称：副教授</w:t>
      </w:r>
    </w:p>
    <w:p w:rsidR="003B0831" w:rsidRDefault="00D90AD0">
      <w:pPr>
        <w:spacing w:line="360" w:lineRule="exact"/>
      </w:pPr>
      <w:r>
        <w:t>研究方向：公司治理和财务管理理论</w:t>
      </w:r>
    </w:p>
    <w:p w:rsidR="003B0831" w:rsidRDefault="00D90AD0">
      <w:pPr>
        <w:spacing w:line="360" w:lineRule="exact"/>
      </w:pPr>
      <w:r>
        <w:t>地址：江苏省盐城市希望路</w:t>
      </w:r>
      <w:r>
        <w:t>1</w:t>
      </w:r>
      <w:r>
        <w:t>号紫金花园</w:t>
      </w:r>
      <w:r>
        <w:t>8</w:t>
      </w:r>
      <w:r>
        <w:t>幢</w:t>
      </w:r>
      <w:r>
        <w:t>13A03</w:t>
      </w:r>
      <w:r>
        <w:t>室</w:t>
      </w:r>
    </w:p>
    <w:p w:rsidR="003B0831" w:rsidRDefault="00D90AD0">
      <w:pPr>
        <w:spacing w:line="360" w:lineRule="exact"/>
      </w:pPr>
      <w:r>
        <w:t>邮编：</w:t>
      </w:r>
      <w:r>
        <w:t>224003</w:t>
      </w:r>
    </w:p>
    <w:sectPr w:rsidR="003B0831" w:rsidSect="003B0831">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D0" w:rsidRDefault="00D90AD0" w:rsidP="003B0831">
      <w:r>
        <w:separator/>
      </w:r>
    </w:p>
  </w:endnote>
  <w:endnote w:type="continuationSeparator" w:id="0">
    <w:p w:rsidR="00D90AD0" w:rsidRDefault="00D90AD0" w:rsidP="003B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D0" w:rsidRDefault="00D90AD0" w:rsidP="003B0831">
      <w:r>
        <w:separator/>
      </w:r>
    </w:p>
  </w:footnote>
  <w:footnote w:type="continuationSeparator" w:id="0">
    <w:p w:rsidR="00D90AD0" w:rsidRDefault="00D90AD0" w:rsidP="003B0831">
      <w:r>
        <w:continuationSeparator/>
      </w:r>
    </w:p>
  </w:footnote>
  <w:footnote w:id="1">
    <w:p w:rsidR="003B0831" w:rsidRDefault="00D90AD0">
      <w:pPr>
        <w:rPr>
          <w:rFonts w:ascii="黑体" w:eastAsia="黑体" w:hAnsi="黑体"/>
          <w:bCs/>
          <w:sz w:val="18"/>
        </w:rPr>
      </w:pPr>
      <w:r>
        <w:rPr>
          <w:rFonts w:ascii="黑体" w:eastAsia="黑体" w:hAnsi="黑体" w:hint="eastAsia"/>
          <w:bCs/>
          <w:sz w:val="18"/>
        </w:rPr>
        <w:t>收稿日期：</w:t>
      </w:r>
      <w:r>
        <w:rPr>
          <w:rFonts w:ascii="黑体" w:eastAsia="黑体" w:hAnsi="黑体" w:hint="eastAsia"/>
          <w:bCs/>
          <w:sz w:val="18"/>
        </w:rPr>
        <w:t xml:space="preserve">                 </w:t>
      </w:r>
    </w:p>
    <w:p w:rsidR="003B0831" w:rsidRDefault="00D90AD0">
      <w:pPr>
        <w:rPr>
          <w:rFonts w:ascii="宋体" w:eastAsia="宋体" w:hAnsi="宋体" w:cs="宋体"/>
          <w:sz w:val="24"/>
        </w:rPr>
      </w:pPr>
      <w:r>
        <w:rPr>
          <w:rFonts w:ascii="黑体" w:eastAsia="黑体" w:hAnsi="黑体"/>
          <w:bCs/>
          <w:sz w:val="18"/>
        </w:rPr>
        <w:t>作者简介：李益娟</w:t>
      </w:r>
      <w:r>
        <w:rPr>
          <w:rFonts w:ascii="黑体" w:eastAsia="黑体" w:hAnsi="黑体" w:hint="eastAsia"/>
          <w:bCs/>
          <w:sz w:val="18"/>
        </w:rPr>
        <w:t>（</w:t>
      </w:r>
      <w:r>
        <w:rPr>
          <w:rFonts w:ascii="黑体" w:eastAsia="黑体" w:hAnsi="黑体" w:hint="eastAsia"/>
          <w:bCs/>
          <w:sz w:val="18"/>
        </w:rPr>
        <w:t>1974-</w:t>
      </w:r>
      <w:r>
        <w:rPr>
          <w:rFonts w:ascii="黑体" w:eastAsia="黑体" w:hAnsi="黑体" w:hint="eastAsia"/>
          <w:bCs/>
          <w:sz w:val="18"/>
        </w:rPr>
        <w:t>）</w:t>
      </w:r>
      <w:r>
        <w:rPr>
          <w:rFonts w:ascii="黑体" w:eastAsia="黑体" w:hAnsi="黑体"/>
          <w:bCs/>
          <w:sz w:val="18"/>
        </w:rPr>
        <w:t>，江苏大丰人</w:t>
      </w:r>
      <w:r>
        <w:rPr>
          <w:rFonts w:ascii="黑体" w:eastAsia="黑体" w:hAnsi="黑体" w:hint="eastAsia"/>
          <w:bCs/>
          <w:sz w:val="18"/>
        </w:rPr>
        <w:t>，</w:t>
      </w:r>
      <w:r>
        <w:rPr>
          <w:rFonts w:ascii="黑体" w:eastAsia="黑体" w:hAnsi="黑体"/>
          <w:bCs/>
          <w:sz w:val="18"/>
        </w:rPr>
        <w:t>盐城工学院管理学院副教授，苏州大学商学院博士研究生</w:t>
      </w:r>
      <w:r>
        <w:rPr>
          <w:rFonts w:ascii="黑体" w:eastAsia="黑体" w:hAnsi="黑体" w:hint="eastAsia"/>
          <w:bCs/>
          <w:sz w:val="18"/>
        </w:rPr>
        <w:t>，</w:t>
      </w:r>
      <w:r>
        <w:rPr>
          <w:rFonts w:ascii="黑体" w:eastAsia="黑体" w:hAnsi="黑体"/>
          <w:bCs/>
          <w:sz w:val="18"/>
        </w:rPr>
        <w:t>主要从事财务管理理论研究</w:t>
      </w:r>
      <w:r>
        <w:rPr>
          <w:rFonts w:ascii="黑体" w:eastAsia="黑体" w:hAnsi="黑体" w:hint="eastAsia"/>
          <w:bCs/>
          <w:sz w:val="18"/>
        </w:rPr>
        <w:t>。</w:t>
      </w:r>
    </w:p>
    <w:p w:rsidR="003B0831" w:rsidRDefault="003B0831">
      <w:pPr>
        <w:ind w:left="1308" w:hanging="1039"/>
        <w:rPr>
          <w:rFonts w:eastAsia="宋体"/>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AC2"/>
    <w:multiLevelType w:val="singleLevel"/>
    <w:tmpl w:val="535C7F82"/>
    <w:name w:val="Bullet 4"/>
    <w:lvl w:ilvl="0">
      <w:start w:val="1"/>
      <w:numFmt w:val="lowerRoman"/>
      <w:lvlText w:val="%1"/>
      <w:lvlJc w:val="left"/>
      <w:pPr>
        <w:tabs>
          <w:tab w:val="num" w:pos="0"/>
        </w:tabs>
        <w:ind w:left="0" w:firstLine="0"/>
      </w:pPr>
    </w:lvl>
  </w:abstractNum>
  <w:abstractNum w:abstractNumId="1">
    <w:nsid w:val="15B44668"/>
    <w:multiLevelType w:val="singleLevel"/>
    <w:tmpl w:val="8326B2D8"/>
    <w:name w:val="Bullet 5"/>
    <w:lvl w:ilvl="0">
      <w:start w:val="1"/>
      <w:numFmt w:val="decimal"/>
      <w:lvlText w:val="%1"/>
      <w:lvlJc w:val="left"/>
      <w:pPr>
        <w:tabs>
          <w:tab w:val="num" w:pos="0"/>
        </w:tabs>
        <w:ind w:left="0" w:firstLine="0"/>
      </w:pPr>
    </w:lvl>
  </w:abstractNum>
  <w:abstractNum w:abstractNumId="2">
    <w:nsid w:val="29DE62C0"/>
    <w:multiLevelType w:val="multilevel"/>
    <w:tmpl w:val="4E8239A4"/>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
    <w:nsid w:val="483C625A"/>
    <w:multiLevelType w:val="singleLevel"/>
    <w:tmpl w:val="C916011E"/>
    <w:name w:val="Bullet 3"/>
    <w:lvl w:ilvl="0">
      <w:start w:val="1"/>
      <w:numFmt w:val="lowerLetter"/>
      <w:lvlText w:val="%1"/>
      <w:lvlJc w:val="left"/>
      <w:pPr>
        <w:tabs>
          <w:tab w:val="num" w:pos="0"/>
        </w:tabs>
        <w:ind w:left="0" w:firstLine="0"/>
      </w:pPr>
    </w:lvl>
  </w:abstractNum>
  <w:abstractNum w:abstractNumId="4">
    <w:nsid w:val="4D021AD8"/>
    <w:multiLevelType w:val="singleLevel"/>
    <w:tmpl w:val="0EAC3E00"/>
    <w:name w:val="Bullet 6"/>
    <w:lvl w:ilvl="0">
      <w:start w:val="1"/>
      <w:numFmt w:val="decimal"/>
      <w:lvlText w:val="%1"/>
      <w:lvlJc w:val="left"/>
      <w:pPr>
        <w:tabs>
          <w:tab w:val="num" w:pos="0"/>
        </w:tabs>
        <w:ind w:left="0" w:firstLine="0"/>
      </w:pPr>
    </w:lvl>
  </w:abstractNum>
  <w:abstractNum w:abstractNumId="5">
    <w:nsid w:val="62065570"/>
    <w:multiLevelType w:val="singleLevel"/>
    <w:tmpl w:val="CD1A13EC"/>
    <w:name w:val="Bullet 2"/>
    <w:lvl w:ilvl="0">
      <w:start w:val="1"/>
      <w:numFmt w:val="japaneseCounting"/>
      <w:lvlText w:val="%1"/>
      <w:lvlJc w:val="left"/>
      <w:pPr>
        <w:tabs>
          <w:tab w:val="num" w:pos="0"/>
        </w:tabs>
        <w:ind w:left="0" w:firstLine="0"/>
      </w:pPr>
    </w:lvl>
  </w:abstractNum>
  <w:abstractNum w:abstractNumId="6">
    <w:nsid w:val="70460615"/>
    <w:multiLevelType w:val="multilevel"/>
    <w:tmpl w:val="A81E37D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3B0831"/>
    <w:rsid w:val="003B0831"/>
    <w:rsid w:val="00422A17"/>
    <w:rsid w:val="00D90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B0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3B083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3B0831"/>
    <w:pPr>
      <w:tabs>
        <w:tab w:val="center" w:pos="4153"/>
        <w:tab w:val="right" w:pos="8306"/>
      </w:tabs>
      <w:jc w:val="left"/>
    </w:pPr>
    <w:rPr>
      <w:sz w:val="18"/>
      <w:szCs w:val="18"/>
    </w:rPr>
  </w:style>
  <w:style w:type="paragraph" w:styleId="a3">
    <w:name w:val="List Paragraph"/>
    <w:qFormat/>
    <w:rsid w:val="003B0831"/>
    <w:pPr>
      <w:ind w:firstLine="420"/>
    </w:pPr>
  </w:style>
  <w:style w:type="paragraph" w:styleId="a4">
    <w:name w:val="Balloon Text"/>
    <w:qFormat/>
    <w:rsid w:val="003B0831"/>
    <w:rPr>
      <w:sz w:val="18"/>
      <w:szCs w:val="18"/>
    </w:rPr>
  </w:style>
  <w:style w:type="character" w:customStyle="1" w:styleId="Char">
    <w:name w:val="页眉 Char"/>
    <w:rsid w:val="003B0831"/>
    <w:rPr>
      <w:sz w:val="18"/>
      <w:szCs w:val="18"/>
    </w:rPr>
  </w:style>
  <w:style w:type="character" w:customStyle="1" w:styleId="Char0">
    <w:name w:val="页脚 Char"/>
    <w:rsid w:val="003B0831"/>
    <w:rPr>
      <w:sz w:val="18"/>
      <w:szCs w:val="18"/>
    </w:rPr>
  </w:style>
  <w:style w:type="character" w:styleId="a5">
    <w:name w:val="Placeholder Text"/>
    <w:rsid w:val="003B0831"/>
    <w:rPr>
      <w:color w:val="808080"/>
    </w:rPr>
  </w:style>
  <w:style w:type="character" w:customStyle="1" w:styleId="Char1">
    <w:name w:val="批注框文本 Char"/>
    <w:rsid w:val="003B0831"/>
    <w:rPr>
      <w:sz w:val="18"/>
      <w:szCs w:val="18"/>
    </w:rPr>
  </w:style>
  <w:style w:type="character" w:customStyle="1" w:styleId="FootnoteReference">
    <w:name w:val="Footnote Reference"/>
    <w:rsid w:val="003B0831"/>
    <w:rPr>
      <w:vertAlign w:val="superscript"/>
    </w:rPr>
  </w:style>
  <w:style w:type="character" w:styleId="a6">
    <w:name w:val="Hyperlink"/>
    <w:rsid w:val="003B08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
    <w:name w:val="Balloon Text"/>
    <w:qFormat/>
    <w:basedOn w:val=""/>
    <w:rPr>
      <w:sz w:val="18"/>
      <w:szCs w:val="18"/>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laceholder Text"/>
    <w:basedOn w:val=""/>
    <w:rPr>
      <w:color w:val="808080"/>
    </w:rPr>
  </w:style>
  <w:style w:type="character" w:styleId="Char" w:customStyle="1">
    <w:name w:val="批注框文本 Char"/>
    <w:basedOn w:val=""/>
    <w:rPr>
      <w:sz w:val="18"/>
      <w:szCs w:val="18"/>
    </w:rPr>
  </w:style>
  <w:style w:type="character" w:styleId="">
    <w:name w:val="Footnote Reference"/>
    <w:basedOn w:val=""/>
    <w:rPr>
      <w:vertAlign w:val="superscript"/>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xbany</cp:lastModifiedBy>
  <cp:revision>2</cp:revision>
  <dcterms:created xsi:type="dcterms:W3CDTF">2017-10-20T07:16:00Z</dcterms:created>
  <dcterms:modified xsi:type="dcterms:W3CDTF">2017-10-20T07:16:00Z</dcterms:modified>
</cp:coreProperties>
</file>