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ED2" w:rsidRDefault="00B86B97">
      <w:pPr>
        <w:jc w:val="center"/>
        <w:rPr>
          <w:rFonts w:ascii="黑体" w:eastAsia="黑体" w:cs="黑体"/>
          <w:bCs/>
          <w:sz w:val="32"/>
          <w:szCs w:val="32"/>
        </w:rPr>
      </w:pPr>
      <w:r>
        <w:rPr>
          <w:rFonts w:ascii="黑体" w:eastAsia="黑体"/>
          <w:b/>
          <w:sz w:val="32"/>
          <w:szCs w:val="32"/>
        </w:rPr>
        <w:t>实验牵引理论模式在</w:t>
      </w:r>
      <w:r>
        <w:rPr>
          <w:rFonts w:ascii="黑体" w:eastAsia="黑体" w:hint="eastAsia"/>
          <w:b/>
          <w:sz w:val="32"/>
          <w:szCs w:val="32"/>
        </w:rPr>
        <w:t>直接电位法测定pH</w:t>
      </w:r>
      <w:r>
        <w:rPr>
          <w:rFonts w:ascii="黑体" w:eastAsia="黑体"/>
          <w:b/>
          <w:sz w:val="32"/>
          <w:szCs w:val="32"/>
        </w:rPr>
        <w:t>中的</w:t>
      </w:r>
      <w:r>
        <w:rPr>
          <w:rFonts w:ascii="黑体" w:eastAsia="黑体" w:hint="eastAsia"/>
          <w:b/>
          <w:sz w:val="32"/>
          <w:szCs w:val="32"/>
        </w:rPr>
        <w:t>教学探究</w:t>
      </w:r>
    </w:p>
    <w:p w:rsidR="00557ED2" w:rsidRPr="00131A74" w:rsidRDefault="00B86B97">
      <w:pPr>
        <w:jc w:val="center"/>
        <w:rPr>
          <w:rFonts w:ascii="仿宋_GB2312" w:eastAsia="仿宋_GB2312" w:cs="仿宋_GB2312"/>
          <w:sz w:val="28"/>
          <w:szCs w:val="28"/>
          <w:vertAlign w:val="superscript"/>
        </w:rPr>
      </w:pPr>
      <w:r w:rsidRPr="00131A74">
        <w:rPr>
          <w:rFonts w:ascii="仿宋_GB2312" w:eastAsia="仿宋_GB2312" w:cs="仿宋_GB2312" w:hint="eastAsia"/>
          <w:sz w:val="28"/>
          <w:szCs w:val="28"/>
        </w:rPr>
        <w:t>周言凤</w:t>
      </w:r>
      <w:r w:rsidR="00131A74" w:rsidRPr="00131A74">
        <w:rPr>
          <w:rFonts w:ascii="仿宋_GB2312" w:eastAsia="仿宋_GB2312" w:hint="eastAsia"/>
          <w:sz w:val="28"/>
          <w:szCs w:val="28"/>
          <w:vertAlign w:val="superscript"/>
        </w:rPr>
        <w:t xml:space="preserve"> </w:t>
      </w:r>
      <w:r w:rsidRPr="00131A74">
        <w:rPr>
          <w:rFonts w:ascii="仿宋_GB2312" w:eastAsia="仿宋_GB2312" w:cs="仿宋_GB2312" w:hint="eastAsia"/>
          <w:sz w:val="28"/>
          <w:szCs w:val="28"/>
        </w:rPr>
        <w:t xml:space="preserve">  陈志勋</w:t>
      </w:r>
      <w:r w:rsidRPr="00131A74">
        <w:rPr>
          <w:rFonts w:ascii="仿宋_GB2312" w:eastAsia="仿宋_GB2312" w:cs="仿宋_GB2312" w:hint="eastAsia"/>
          <w:sz w:val="28"/>
          <w:szCs w:val="28"/>
          <w:vertAlign w:val="superscript"/>
        </w:rPr>
        <w:t xml:space="preserve">       </w:t>
      </w:r>
    </w:p>
    <w:p w:rsidR="00557ED2" w:rsidRPr="00131A74" w:rsidRDefault="00B86B97">
      <w:pPr>
        <w:jc w:val="center"/>
        <w:rPr>
          <w:rFonts w:ascii="宋体" w:cs="宋体"/>
          <w:sz w:val="28"/>
          <w:szCs w:val="28"/>
        </w:rPr>
      </w:pPr>
      <w:r w:rsidRPr="00131A74">
        <w:rPr>
          <w:rFonts w:ascii="宋体" w:cs="宋体" w:hint="eastAsia"/>
          <w:sz w:val="28"/>
          <w:szCs w:val="28"/>
        </w:rPr>
        <w:t>（湖南有色金属职业技术学院 湖南</w:t>
      </w:r>
      <w:r w:rsidR="00131A74">
        <w:rPr>
          <w:rFonts w:ascii="宋体" w:cs="宋体" w:hint="eastAsia"/>
          <w:sz w:val="28"/>
          <w:szCs w:val="28"/>
        </w:rPr>
        <w:t xml:space="preserve"> </w:t>
      </w:r>
      <w:r w:rsidRPr="00131A74">
        <w:rPr>
          <w:rFonts w:ascii="宋体" w:cs="宋体" w:hint="eastAsia"/>
          <w:sz w:val="28"/>
          <w:szCs w:val="28"/>
        </w:rPr>
        <w:t>株洲 412006）</w:t>
      </w:r>
    </w:p>
    <w:p w:rsidR="00557ED2" w:rsidRDefault="00B86B97">
      <w:pPr>
        <w:widowControl/>
        <w:shd w:val="clear" w:color="auto" w:fill="FFFFFF"/>
        <w:spacing w:line="357" w:lineRule="atLeast"/>
        <w:jc w:val="left"/>
        <w:rPr>
          <w:rFonts w:ascii="黑体" w:eastAsia="黑体" w:cs="黑体"/>
          <w:bCs/>
          <w:sz w:val="32"/>
          <w:szCs w:val="32"/>
        </w:rPr>
      </w:pPr>
      <w:r>
        <w:rPr>
          <w:rFonts w:ascii="Arial" w:hAnsi="Arial"/>
          <w:color w:val="000000"/>
          <w:kern w:val="0"/>
          <w:szCs w:val="21"/>
          <w:shd w:val="clear" w:color="auto" w:fill="FFFFFF"/>
        </w:rPr>
        <w:t xml:space="preserve">    </w:t>
      </w:r>
    </w:p>
    <w:p w:rsidR="00557ED2" w:rsidRDefault="00B86B97">
      <w:pPr>
        <w:spacing w:line="300" w:lineRule="auto"/>
        <w:rPr>
          <w:rFonts w:ascii="宋体" w:cs="宋体"/>
          <w:szCs w:val="21"/>
        </w:rPr>
      </w:pPr>
      <w:r>
        <w:rPr>
          <w:rFonts w:ascii="黑体" w:eastAsia="黑体" w:cs="黑体" w:hint="eastAsia"/>
          <w:b/>
          <w:bCs/>
        </w:rPr>
        <w:t>摘要</w:t>
      </w:r>
      <w:r w:rsidR="00131A74">
        <w:rPr>
          <w:rFonts w:ascii="黑体" w:eastAsia="黑体" w:cs="黑体" w:hint="eastAsia"/>
          <w:b/>
          <w:bCs/>
        </w:rPr>
        <w:t>：</w:t>
      </w:r>
      <w:r>
        <w:rPr>
          <w:rFonts w:hint="eastAsia"/>
          <w:b/>
          <w:bCs/>
        </w:rPr>
        <w:t xml:space="preserve">  </w:t>
      </w:r>
      <w:r>
        <w:rPr>
          <w:rFonts w:ascii="仿宋_GB2312" w:eastAsia="仿宋_GB2312" w:cs="仿宋_GB2312" w:hint="eastAsia"/>
          <w:szCs w:val="21"/>
        </w:rPr>
        <w:t>直接电位法测定pH是一般实验室的常规检测项目，也是电化学分析课程中最基础的实验教学项目。pH测定实验操作非常简单，但是实验原理、实验装置，相对于大部分高职学生却比较难理解。本实验在pH测定的基础上，增设了2个实验任务：</w:t>
      </w:r>
      <w:r>
        <w:rPr>
          <w:rFonts w:ascii="仿宋_GB2312" w:eastAsia="仿宋_GB2312" w:cs="仿宋_GB2312" w:hint="eastAsia"/>
        </w:rPr>
        <w:t>定量公式</w:t>
      </w:r>
      <w:r w:rsidR="00D57F08" w:rsidRPr="00D57F08">
        <w:rPr>
          <w:rFonts w:ascii="仿宋_GB2312" w:eastAsia="仿宋_GB2312" w:cs="仿宋_GB2312"/>
          <w:position w:val="-24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25.5pt">
            <v:imagedata r:id="rId7" o:title="179790151464609475921"/>
          </v:shape>
        </w:pict>
      </w:r>
      <w:r>
        <w:rPr>
          <w:rFonts w:ascii="仿宋_GB2312" w:eastAsia="仿宋_GB2312" w:cs="仿宋_GB2312" w:hint="eastAsia"/>
        </w:rPr>
        <w:t>验证实验、测定装置比较实验，并</w:t>
      </w:r>
      <w:r>
        <w:rPr>
          <w:rFonts w:ascii="仿宋_GB2312" w:eastAsia="仿宋_GB2312" w:cs="仿宋_GB2312" w:hint="eastAsia"/>
          <w:szCs w:val="21"/>
        </w:rPr>
        <w:t>采用实验牵引理论模式，把理论知识揉穿进实验，通过实验比较来加深理解运用理论知识，让学生亲自动手验证理论，在熟练掌握分析操作技能的基础上深刻理解</w:t>
      </w:r>
      <w:r>
        <w:rPr>
          <w:rFonts w:ascii="仿宋_GB2312" w:eastAsia="仿宋_GB2312" w:cs="仿宋_GB2312" w:hint="eastAsia"/>
          <w:color w:val="000000"/>
          <w:szCs w:val="21"/>
        </w:rPr>
        <w:t>理论知识。</w:t>
      </w:r>
    </w:p>
    <w:p w:rsidR="00557ED2" w:rsidRDefault="00B86B97">
      <w:pPr>
        <w:spacing w:line="440" w:lineRule="exact"/>
        <w:jc w:val="left"/>
        <w:rPr>
          <w:rFonts w:ascii="宋体"/>
          <w:szCs w:val="21"/>
        </w:rPr>
      </w:pPr>
      <w:r>
        <w:rPr>
          <w:rFonts w:ascii="黑体" w:eastAsia="黑体" w:cs="黑体" w:hint="eastAsia"/>
          <w:b/>
          <w:bCs/>
          <w:szCs w:val="21"/>
        </w:rPr>
        <w:t>关键词</w:t>
      </w:r>
      <w:r w:rsidR="00131A74">
        <w:rPr>
          <w:rFonts w:ascii="黑体" w:eastAsia="黑体" w:cs="黑体" w:hint="eastAsia"/>
          <w:b/>
          <w:bCs/>
          <w:szCs w:val="21"/>
        </w:rPr>
        <w:t>：</w:t>
      </w:r>
      <w:r>
        <w:rPr>
          <w:rFonts w:ascii="黑体" w:eastAsia="黑体" w:cs="黑体" w:hint="eastAsia"/>
          <w:szCs w:val="21"/>
        </w:rPr>
        <w:t xml:space="preserve"> </w:t>
      </w:r>
      <w:r>
        <w:rPr>
          <w:rFonts w:ascii="宋体" w:hint="eastAsia"/>
          <w:szCs w:val="21"/>
        </w:rPr>
        <w:t xml:space="preserve"> </w:t>
      </w:r>
      <w:r>
        <w:rPr>
          <w:rFonts w:ascii="仿宋_GB2312" w:eastAsia="仿宋_GB2312" w:cs="仿宋_GB2312" w:hint="eastAsia"/>
          <w:szCs w:val="21"/>
        </w:rPr>
        <w:t>实验牵引理论  直接电位法  理实一体化 pH测定</w:t>
      </w:r>
      <w:r>
        <w:rPr>
          <w:rFonts w:ascii="宋体" w:hint="eastAsia"/>
          <w:szCs w:val="21"/>
        </w:rPr>
        <w:t xml:space="preserve">  </w:t>
      </w:r>
    </w:p>
    <w:p w:rsidR="00557ED2" w:rsidRDefault="00557ED2"/>
    <w:p w:rsidR="00557ED2" w:rsidRDefault="00B86B97">
      <w:pPr>
        <w:spacing w:line="300" w:lineRule="auto"/>
        <w:rPr>
          <w:rFonts w:ascii="宋体" w:cs="宋体"/>
        </w:rPr>
      </w:pPr>
      <w:r>
        <w:rPr>
          <w:rFonts w:hint="eastAsia"/>
        </w:rPr>
        <w:t xml:space="preserve">    </w:t>
      </w:r>
      <w:r>
        <w:rPr>
          <w:rFonts w:ascii="宋体" w:cs="宋体" w:hint="eastAsia"/>
        </w:rPr>
        <w:t>直接电位法测定</w:t>
      </w:r>
      <w:r>
        <w:rPr>
          <w:rFonts w:ascii="宋体" w:cs="宋体" w:hint="eastAsia"/>
          <w:i/>
          <w:iCs/>
          <w:szCs w:val="21"/>
        </w:rPr>
        <w:t>pH</w:t>
      </w:r>
      <w:r>
        <w:rPr>
          <w:rFonts w:ascii="宋体" w:cs="宋体" w:hint="eastAsia"/>
        </w:rPr>
        <w:t>，是电化学分析中最常见、最基础的实验项目。如果教学目标着眼于基本操作的应用，相对高职学生，这部分内容的掌握非常简单。然而，实际教学过程中发现，多数学生对理论课堂中学习的定量原理、实验装置还是一知半解、心存疑惑，比如：测定结果</w:t>
      </w:r>
      <w:r>
        <w:rPr>
          <w:rFonts w:ascii="宋体" w:cs="宋体" w:hint="eastAsia"/>
          <w:i/>
          <w:iCs/>
          <w:szCs w:val="21"/>
        </w:rPr>
        <w:t>pH</w:t>
      </w:r>
      <w:r>
        <w:rPr>
          <w:rFonts w:ascii="宋体" w:cs="宋体" w:hint="eastAsia"/>
        </w:rPr>
        <w:t>，为什么不需要定量公式</w:t>
      </w:r>
      <w:r w:rsidR="00D57F08" w:rsidRPr="00D57F08">
        <w:rPr>
          <w:rFonts w:ascii="宋体" w:cs="宋体"/>
          <w:position w:val="-24"/>
          <w:szCs w:val="21"/>
        </w:rPr>
        <w:pict>
          <v:shape id="_x0000_i1026" type="#_x0000_t75" style="width:108.75pt;height:25.5pt">
            <v:imagedata r:id="rId7" o:title="4295912121464609476000"/>
          </v:shape>
        </w:pict>
      </w:r>
      <w:r>
        <w:rPr>
          <w:rFonts w:ascii="宋体" w:cs="宋体" w:hint="eastAsia"/>
          <w:szCs w:val="21"/>
        </w:rPr>
        <w:t>计算</w:t>
      </w:r>
      <w:r>
        <w:rPr>
          <w:rFonts w:ascii="宋体" w:cs="宋体" w:hint="eastAsia"/>
        </w:rPr>
        <w:t>就可直接读出；实验装置原电池中指示电极、参比电极，为什么只用了1支电极；怎样降低测定误差等。通过参阅大量文献资料，发现很少有涉及以上相关内容的教学研究报道。</w:t>
      </w:r>
    </w:p>
    <w:p w:rsidR="00557ED2" w:rsidRDefault="00B86B97">
      <w:pPr>
        <w:spacing w:line="300" w:lineRule="auto"/>
        <w:rPr>
          <w:rFonts w:ascii="宋体" w:cs="宋体"/>
        </w:rPr>
      </w:pPr>
      <w:r>
        <w:rPr>
          <w:rFonts w:ascii="宋体" w:cs="宋体" w:hint="eastAsia"/>
        </w:rPr>
        <w:t xml:space="preserve">    为引导学生在实验中既动手又动脑、应用理论指导实验，本文探索性地在简单的</w:t>
      </w:r>
      <w:r>
        <w:rPr>
          <w:rFonts w:ascii="宋体" w:cs="宋体" w:hint="eastAsia"/>
          <w:szCs w:val="21"/>
        </w:rPr>
        <w:t>pH</w:t>
      </w:r>
      <w:r>
        <w:rPr>
          <w:rFonts w:ascii="宋体" w:cs="宋体" w:hint="eastAsia"/>
        </w:rPr>
        <w:t>测定实验中增设2个任务，如：定量公式验证实验、测定装置比较实验，让学生亲自动手，结合实验牵引理论，从而更深刻理解理论知识，进一步联系理论指导实验，结合理论知识发现问题、解决问题。</w:t>
      </w:r>
    </w:p>
    <w:p w:rsidR="00557ED2" w:rsidRDefault="00557ED2">
      <w:pPr>
        <w:spacing w:line="300" w:lineRule="auto"/>
      </w:pPr>
    </w:p>
    <w:p w:rsidR="00557ED2" w:rsidRDefault="00B86B97">
      <w:pPr>
        <w:spacing w:line="300" w:lineRule="auto"/>
        <w:rPr>
          <w:rFonts w:ascii="黑体" w:eastAsia="黑体" w:cs="黑体"/>
          <w:b/>
          <w:sz w:val="24"/>
          <w:szCs w:val="24"/>
        </w:rPr>
      </w:pPr>
      <w:r>
        <w:rPr>
          <w:rFonts w:ascii="黑体" w:eastAsia="黑体" w:cs="黑体" w:hint="eastAsia"/>
          <w:b/>
          <w:sz w:val="24"/>
          <w:szCs w:val="24"/>
        </w:rPr>
        <w:t>1 定量公式</w:t>
      </w:r>
      <w:r w:rsidR="00D57F08" w:rsidRPr="00D57F08">
        <w:rPr>
          <w:rFonts w:ascii="黑体" w:eastAsia="黑体" w:cs="黑体"/>
          <w:position w:val="-24"/>
          <w:sz w:val="24"/>
          <w:szCs w:val="24"/>
        </w:rPr>
        <w:pict>
          <v:shape id="_x0000_i1027" type="#_x0000_t75" style="width:119.25pt;height:27.75pt">
            <v:imagedata r:id="rId7" o:title="7327904561464609476015"/>
          </v:shape>
        </w:pict>
      </w:r>
      <w:r>
        <w:rPr>
          <w:rFonts w:ascii="黑体" w:eastAsia="黑体" w:cs="黑体" w:hint="eastAsia"/>
          <w:b/>
          <w:sz w:val="24"/>
          <w:szCs w:val="24"/>
        </w:rPr>
        <w:t>验证实验</w:t>
      </w:r>
    </w:p>
    <w:p w:rsidR="00557ED2" w:rsidRDefault="00B86B97">
      <w:pPr>
        <w:spacing w:line="300" w:lineRule="auto"/>
        <w:rPr>
          <w:rFonts w:ascii="宋体" w:cs="宋体"/>
          <w:szCs w:val="21"/>
        </w:rPr>
      </w:pPr>
      <w:r>
        <w:rPr>
          <w:rFonts w:ascii="黑体" w:eastAsia="黑体" w:hint="eastAsia"/>
          <w:b/>
          <w:sz w:val="24"/>
        </w:rPr>
        <w:t xml:space="preserve">  </w:t>
      </w:r>
      <w:r>
        <w:rPr>
          <w:rFonts w:ascii="宋体" w:cs="宋体" w:hint="eastAsia"/>
          <w:b/>
          <w:szCs w:val="21"/>
        </w:rPr>
        <w:t xml:space="preserve"> </w:t>
      </w:r>
      <w:r>
        <w:rPr>
          <w:rFonts w:ascii="宋体" w:cs="宋体" w:hint="eastAsia"/>
          <w:szCs w:val="21"/>
        </w:rPr>
        <w:t>根据理论公式，样品</w:t>
      </w:r>
      <w:r>
        <w:rPr>
          <w:rFonts w:ascii="宋体" w:cs="宋体" w:hint="eastAsia"/>
          <w:i/>
          <w:iCs/>
          <w:szCs w:val="21"/>
        </w:rPr>
        <w:t>pHx</w:t>
      </w:r>
      <w:r>
        <w:rPr>
          <w:rFonts w:ascii="宋体" w:cs="宋体" w:hint="eastAsia"/>
          <w:szCs w:val="21"/>
        </w:rPr>
        <w:t>的测定，是通过测出标准和样品的Es、Ex，结合标准的pHs，计算出来。然而，实际却是在</w:t>
      </w:r>
      <w:r>
        <w:rPr>
          <w:rFonts w:ascii="宋体" w:cs="宋体" w:hint="eastAsia"/>
          <w:i/>
          <w:iCs/>
          <w:szCs w:val="21"/>
        </w:rPr>
        <w:t>pH</w:t>
      </w:r>
      <w:r>
        <w:rPr>
          <w:rFonts w:ascii="宋体" w:cs="宋体" w:hint="eastAsia"/>
          <w:szCs w:val="21"/>
        </w:rPr>
        <w:t>计直接读出，不需要计算，以致学生产生疑惑。本实验通过直读法和计算法比较测定相同的样品，来验证实验原理定量公式。</w:t>
      </w:r>
    </w:p>
    <w:p w:rsidR="00557ED2" w:rsidRDefault="00B86B97">
      <w:pPr>
        <w:spacing w:line="300" w:lineRule="auto"/>
        <w:rPr>
          <w:rFonts w:ascii="黑体" w:eastAsia="黑体" w:cs="黑体"/>
          <w:szCs w:val="21"/>
        </w:rPr>
      </w:pPr>
      <w:r>
        <w:rPr>
          <w:rFonts w:ascii="黑体" w:eastAsia="黑体" w:cs="黑体" w:hint="eastAsia"/>
          <w:szCs w:val="21"/>
        </w:rPr>
        <w:t>1.1 试剂</w:t>
      </w:r>
    </w:p>
    <w:p w:rsidR="00557ED2" w:rsidRDefault="00B86B97">
      <w:pPr>
        <w:spacing w:line="300" w:lineRule="auto"/>
        <w:rPr>
          <w:rFonts w:ascii="宋体" w:cs="宋体"/>
          <w:szCs w:val="21"/>
        </w:rPr>
      </w:pPr>
      <w:r>
        <w:rPr>
          <w:rFonts w:ascii="宋体" w:cs="宋体" w:hint="eastAsia"/>
          <w:szCs w:val="21"/>
        </w:rPr>
        <w:lastRenderedPageBreak/>
        <w:t>1.1.1 标准溶液</w:t>
      </w:r>
    </w:p>
    <w:p w:rsidR="00557ED2" w:rsidRDefault="00B86B97">
      <w:pPr>
        <w:spacing w:line="300" w:lineRule="auto"/>
        <w:ind w:firstLine="420"/>
        <w:rPr>
          <w:rFonts w:ascii="宋体"/>
          <w:szCs w:val="21"/>
        </w:rPr>
      </w:pPr>
      <w:r>
        <w:rPr>
          <w:rFonts w:ascii="宋体" w:cs="宋体" w:hint="eastAsia"/>
          <w:szCs w:val="21"/>
        </w:rPr>
        <w:t>25</w:t>
      </w:r>
      <w:r>
        <w:rPr>
          <w:rFonts w:ascii="宋体" w:cs="宋体" w:hint="eastAsia"/>
          <w:i/>
          <w:iCs/>
          <w:color w:val="000000"/>
          <w:kern w:val="0"/>
          <w:szCs w:val="21"/>
        </w:rPr>
        <w:t>℃</w:t>
      </w:r>
      <w:r>
        <w:rPr>
          <w:rFonts w:ascii="宋体" w:cs="宋体" w:hint="eastAsia"/>
          <w:color w:val="000000"/>
          <w:kern w:val="0"/>
          <w:szCs w:val="21"/>
        </w:rPr>
        <w:t>时，</w:t>
      </w:r>
      <w:r>
        <w:rPr>
          <w:rFonts w:ascii="宋体" w:cs="宋体" w:hint="eastAsia"/>
          <w:szCs w:val="21"/>
        </w:rPr>
        <w:t>pH</w:t>
      </w:r>
      <w:r>
        <w:rPr>
          <w:rFonts w:ascii="宋体" w:cs="宋体" w:hint="eastAsia"/>
          <w:color w:val="000000"/>
          <w:kern w:val="0"/>
          <w:szCs w:val="21"/>
        </w:rPr>
        <w:t>为</w:t>
      </w:r>
      <w:r>
        <w:rPr>
          <w:rFonts w:ascii="宋体" w:cs="宋体" w:hint="eastAsia"/>
          <w:szCs w:val="21"/>
        </w:rPr>
        <w:t>4.00</w:t>
      </w:r>
      <w:r>
        <w:rPr>
          <w:rFonts w:ascii="宋体" w:cs="宋体" w:hint="eastAsia"/>
          <w:color w:val="000000"/>
          <w:kern w:val="0"/>
          <w:szCs w:val="21"/>
        </w:rPr>
        <w:t>的邻苯二甲酸氢钾标准溶液、</w:t>
      </w:r>
      <w:r>
        <w:rPr>
          <w:rFonts w:ascii="宋体" w:cs="宋体" w:hint="eastAsia"/>
          <w:szCs w:val="21"/>
        </w:rPr>
        <w:t>pH</w:t>
      </w:r>
      <w:r>
        <w:rPr>
          <w:rFonts w:ascii="宋体" w:cs="宋体" w:hint="eastAsia"/>
          <w:color w:val="000000"/>
          <w:kern w:val="0"/>
          <w:szCs w:val="21"/>
        </w:rPr>
        <w:t>为</w:t>
      </w:r>
      <w:r>
        <w:rPr>
          <w:rFonts w:ascii="宋体" w:cs="宋体" w:hint="eastAsia"/>
          <w:szCs w:val="21"/>
        </w:rPr>
        <w:t>6.86的</w:t>
      </w:r>
      <w:r>
        <w:rPr>
          <w:rFonts w:ascii="宋体" w:cs="宋体" w:hint="eastAsia"/>
          <w:color w:val="000000"/>
          <w:kern w:val="0"/>
          <w:szCs w:val="21"/>
        </w:rPr>
        <w:t>磷酸二氢钾和磷酸氢二钠缓冲溶液、</w:t>
      </w:r>
      <w:r>
        <w:rPr>
          <w:rFonts w:ascii="宋体" w:cs="宋体" w:hint="eastAsia"/>
          <w:szCs w:val="21"/>
        </w:rPr>
        <w:t>pH</w:t>
      </w:r>
      <w:r>
        <w:rPr>
          <w:rFonts w:ascii="宋体" w:cs="宋体" w:hint="eastAsia"/>
          <w:color w:val="000000"/>
          <w:kern w:val="0"/>
          <w:szCs w:val="21"/>
        </w:rPr>
        <w:t>为</w:t>
      </w:r>
      <w:r>
        <w:rPr>
          <w:rFonts w:ascii="宋体" w:cs="宋体" w:hint="eastAsia"/>
          <w:szCs w:val="21"/>
        </w:rPr>
        <w:t>9.18的硼酸钠标准溶液。</w:t>
      </w:r>
    </w:p>
    <w:p w:rsidR="00557ED2" w:rsidRDefault="00B86B97">
      <w:pPr>
        <w:spacing w:line="300" w:lineRule="auto"/>
        <w:rPr>
          <w:rFonts w:ascii="宋体" w:cs="宋体"/>
          <w:szCs w:val="21"/>
        </w:rPr>
      </w:pPr>
      <w:r>
        <w:rPr>
          <w:rFonts w:ascii="宋体" w:cs="宋体" w:hint="eastAsia"/>
          <w:szCs w:val="21"/>
        </w:rPr>
        <w:t>1.1.2 待测样品</w:t>
      </w:r>
    </w:p>
    <w:p w:rsidR="00557ED2" w:rsidRDefault="00B86B97">
      <w:pPr>
        <w:spacing w:line="300" w:lineRule="auto"/>
        <w:ind w:firstLineChars="200" w:firstLine="420"/>
        <w:rPr>
          <w:rFonts w:ascii="宋体" w:cs="宋体"/>
          <w:szCs w:val="21"/>
        </w:rPr>
      </w:pPr>
      <w:r>
        <w:rPr>
          <w:rFonts w:ascii="宋体" w:cs="宋体" w:hint="eastAsia"/>
          <w:szCs w:val="21"/>
        </w:rPr>
        <w:t xml:space="preserve"> 1</w:t>
      </w:r>
      <w:r>
        <w:rPr>
          <w:rFonts w:ascii="宋体" w:cs="宋体" w:hint="eastAsia"/>
          <w:szCs w:val="21"/>
          <w:vertAlign w:val="superscript"/>
        </w:rPr>
        <w:t>#</w:t>
      </w:r>
      <w:r>
        <w:rPr>
          <w:rFonts w:ascii="宋体" w:cs="宋体" w:hint="eastAsia"/>
          <w:szCs w:val="21"/>
        </w:rPr>
        <w:t>、2</w:t>
      </w:r>
      <w:r>
        <w:rPr>
          <w:rFonts w:ascii="宋体" w:cs="宋体" w:hint="eastAsia"/>
          <w:szCs w:val="21"/>
          <w:vertAlign w:val="superscript"/>
        </w:rPr>
        <w:t>#</w:t>
      </w:r>
      <w:r>
        <w:rPr>
          <w:rFonts w:ascii="宋体" w:cs="宋体" w:hint="eastAsia"/>
          <w:szCs w:val="21"/>
        </w:rPr>
        <w:t>、3</w:t>
      </w:r>
      <w:r>
        <w:rPr>
          <w:rFonts w:ascii="宋体" w:cs="宋体" w:hint="eastAsia"/>
          <w:szCs w:val="21"/>
          <w:vertAlign w:val="superscript"/>
        </w:rPr>
        <w:t>#</w:t>
      </w:r>
      <w:r>
        <w:rPr>
          <w:rFonts w:ascii="宋体" w:cs="宋体" w:hint="eastAsia"/>
          <w:szCs w:val="21"/>
        </w:rPr>
        <w:t>待测溶液的</w:t>
      </w:r>
      <w:r>
        <w:rPr>
          <w:rFonts w:ascii="宋体" w:cs="宋体" w:hint="eastAsia"/>
          <w:i/>
          <w:iCs/>
          <w:szCs w:val="21"/>
        </w:rPr>
        <w:t>pH</w:t>
      </w:r>
      <w:r>
        <w:rPr>
          <w:rFonts w:ascii="宋体" w:cs="宋体" w:hint="eastAsia"/>
          <w:szCs w:val="21"/>
        </w:rPr>
        <w:t xml:space="preserve">分别为3、6、9。  </w:t>
      </w:r>
    </w:p>
    <w:p w:rsidR="00557ED2" w:rsidRDefault="00B86B97">
      <w:pPr>
        <w:spacing w:line="300" w:lineRule="auto"/>
        <w:rPr>
          <w:rFonts w:ascii="黑体" w:eastAsia="黑体" w:cs="黑体"/>
          <w:szCs w:val="21"/>
        </w:rPr>
      </w:pPr>
      <w:r>
        <w:rPr>
          <w:rFonts w:ascii="黑体" w:eastAsia="黑体" w:cs="黑体" w:hint="eastAsia"/>
          <w:szCs w:val="21"/>
        </w:rPr>
        <w:t>1.2 测定</w:t>
      </w:r>
    </w:p>
    <w:p w:rsidR="00557ED2" w:rsidRDefault="00B86B97">
      <w:pPr>
        <w:spacing w:line="300" w:lineRule="auto"/>
        <w:rPr>
          <w:rFonts w:ascii="宋体" w:cs="宋体"/>
          <w:szCs w:val="21"/>
        </w:rPr>
      </w:pPr>
      <w:r>
        <w:rPr>
          <w:rFonts w:ascii="宋体" w:cs="宋体" w:hint="eastAsia"/>
          <w:szCs w:val="21"/>
        </w:rPr>
        <w:t>1.2.1 直读法</w:t>
      </w:r>
    </w:p>
    <w:p w:rsidR="00557ED2" w:rsidRDefault="00B86B97">
      <w:pPr>
        <w:spacing w:line="300" w:lineRule="auto"/>
        <w:ind w:firstLine="420"/>
        <w:rPr>
          <w:rFonts w:ascii="宋体" w:cs="宋体"/>
          <w:szCs w:val="21"/>
        </w:rPr>
      </w:pPr>
      <w:r>
        <w:rPr>
          <w:rFonts w:ascii="宋体" w:cs="宋体" w:hint="eastAsia"/>
          <w:szCs w:val="21"/>
        </w:rPr>
        <w:t>待pHs-3c雷磁电位计预热30min后，在pH模式下，按仪器说明书，用单标准法校正仪器，分别测定三个样品的pH，测定结果如下表2中pH</w:t>
      </w:r>
      <w:r>
        <w:rPr>
          <w:rFonts w:ascii="宋体" w:cs="宋体" w:hint="eastAsia"/>
          <w:szCs w:val="21"/>
          <w:vertAlign w:val="subscript"/>
        </w:rPr>
        <w:t>直读</w:t>
      </w:r>
      <w:r>
        <w:rPr>
          <w:rFonts w:ascii="宋体" w:cs="宋体" w:hint="eastAsia"/>
          <w:szCs w:val="21"/>
        </w:rPr>
        <w:t>。</w:t>
      </w:r>
    </w:p>
    <w:p w:rsidR="00557ED2" w:rsidRDefault="00B86B97">
      <w:pPr>
        <w:spacing w:line="300" w:lineRule="auto"/>
        <w:rPr>
          <w:rFonts w:ascii="宋体" w:cs="宋体"/>
          <w:szCs w:val="21"/>
        </w:rPr>
      </w:pPr>
      <w:r>
        <w:rPr>
          <w:rFonts w:ascii="宋体" w:cs="宋体" w:hint="eastAsia"/>
          <w:szCs w:val="21"/>
        </w:rPr>
        <w:t>1.2.2 计算法</w:t>
      </w:r>
    </w:p>
    <w:p w:rsidR="00557ED2" w:rsidRDefault="00B86B97">
      <w:pPr>
        <w:spacing w:line="300" w:lineRule="auto"/>
        <w:ind w:firstLine="420"/>
        <w:rPr>
          <w:rFonts w:ascii="宋体" w:cs="宋体"/>
          <w:szCs w:val="21"/>
        </w:rPr>
      </w:pPr>
      <w:r>
        <w:rPr>
          <w:rFonts w:ascii="宋体" w:cs="宋体" w:hint="eastAsia"/>
          <w:szCs w:val="21"/>
        </w:rPr>
        <w:t>在</w:t>
      </w:r>
      <w:r>
        <w:rPr>
          <w:rFonts w:ascii="宋体" w:cs="宋体" w:hint="eastAsia"/>
          <w:i/>
          <w:iCs/>
          <w:szCs w:val="21"/>
        </w:rPr>
        <w:t>mV</w:t>
      </w:r>
      <w:r>
        <w:rPr>
          <w:rFonts w:ascii="宋体" w:cs="宋体" w:hint="eastAsia"/>
          <w:szCs w:val="21"/>
        </w:rPr>
        <w:t>模式下，测定标准溶液的电位值</w:t>
      </w:r>
      <w:r>
        <w:rPr>
          <w:rFonts w:ascii="宋体" w:cs="宋体" w:hint="eastAsia"/>
          <w:i/>
          <w:iCs/>
          <w:szCs w:val="21"/>
        </w:rPr>
        <w:t>Es</w:t>
      </w:r>
      <w:r>
        <w:rPr>
          <w:rFonts w:ascii="宋体" w:cs="宋体" w:hint="eastAsia"/>
          <w:szCs w:val="21"/>
        </w:rPr>
        <w:t>，样品的电位值</w:t>
      </w:r>
      <w:r>
        <w:rPr>
          <w:rFonts w:ascii="宋体" w:cs="宋体" w:hint="eastAsia"/>
          <w:i/>
          <w:iCs/>
          <w:szCs w:val="21"/>
        </w:rPr>
        <w:t>Ex</w:t>
      </w:r>
      <w:r>
        <w:rPr>
          <w:rFonts w:ascii="宋体" w:cs="宋体" w:hint="eastAsia"/>
          <w:szCs w:val="21"/>
        </w:rPr>
        <w:t>，结合标准的pHs，代入定量公式</w:t>
      </w:r>
      <w:r w:rsidR="00D57F08" w:rsidRPr="00D57F08">
        <w:rPr>
          <w:rFonts w:ascii="宋体" w:cs="宋体"/>
          <w:position w:val="-24"/>
          <w:szCs w:val="21"/>
        </w:rPr>
        <w:pict>
          <v:shape id="_x0000_i1028" type="#_x0000_t75" style="width:108pt;height:25.5pt">
            <v:imagedata r:id="rId7" o:title="8090944581464609476046"/>
          </v:shape>
        </w:pict>
      </w:r>
      <w:r>
        <w:rPr>
          <w:rFonts w:ascii="宋体" w:cs="宋体" w:hint="eastAsia"/>
          <w:szCs w:val="21"/>
        </w:rPr>
        <w:t>，计算出样品的</w:t>
      </w:r>
      <w:r>
        <w:rPr>
          <w:rFonts w:ascii="宋体" w:cs="宋体" w:hint="eastAsia"/>
          <w:i/>
          <w:iCs/>
          <w:szCs w:val="21"/>
        </w:rPr>
        <w:t>pHx</w:t>
      </w:r>
      <w:r>
        <w:rPr>
          <w:rFonts w:ascii="宋体" w:cs="宋体" w:hint="eastAsia"/>
          <w:szCs w:val="21"/>
        </w:rPr>
        <w:t>，计算结果如下表2中 pH</w:t>
      </w:r>
      <w:r>
        <w:rPr>
          <w:rFonts w:ascii="宋体" w:cs="宋体" w:hint="eastAsia"/>
          <w:szCs w:val="21"/>
          <w:vertAlign w:val="subscript"/>
        </w:rPr>
        <w:t>计算</w:t>
      </w:r>
      <w:r>
        <w:rPr>
          <w:rFonts w:ascii="宋体" w:cs="宋体" w:hint="eastAsia"/>
          <w:szCs w:val="21"/>
        </w:rPr>
        <w:t>。</w:t>
      </w:r>
    </w:p>
    <w:p w:rsidR="00557ED2" w:rsidRDefault="00B86B97">
      <w:pPr>
        <w:spacing w:line="300" w:lineRule="auto"/>
        <w:rPr>
          <w:rFonts w:ascii="黑体" w:eastAsia="黑体" w:cs="黑体"/>
          <w:szCs w:val="21"/>
        </w:rPr>
      </w:pPr>
      <w:r>
        <w:rPr>
          <w:rFonts w:ascii="黑体" w:eastAsia="黑体" w:cs="黑体" w:hint="eastAsia"/>
          <w:szCs w:val="21"/>
        </w:rPr>
        <w:t>1.3 数据比较分析</w:t>
      </w:r>
    </w:p>
    <w:p w:rsidR="00557ED2" w:rsidRDefault="00B86B97">
      <w:pPr>
        <w:spacing w:line="300" w:lineRule="auto"/>
        <w:rPr>
          <w:rFonts w:ascii="宋体" w:cs="宋体"/>
          <w:szCs w:val="21"/>
        </w:rPr>
      </w:pPr>
      <w:r>
        <w:rPr>
          <w:rFonts w:ascii="宋体" w:cs="宋体" w:hint="eastAsia"/>
          <w:szCs w:val="21"/>
        </w:rPr>
        <w:t xml:space="preserve">    根据1.2.1和1.2.2，得到的pH</w:t>
      </w:r>
      <w:r>
        <w:rPr>
          <w:rFonts w:ascii="宋体" w:cs="宋体" w:hint="eastAsia"/>
          <w:szCs w:val="21"/>
          <w:vertAlign w:val="subscript"/>
        </w:rPr>
        <w:t>直读</w:t>
      </w:r>
      <w:r>
        <w:rPr>
          <w:rFonts w:ascii="宋体" w:cs="宋体" w:hint="eastAsia"/>
          <w:szCs w:val="21"/>
        </w:rPr>
        <w:t>和pH</w:t>
      </w:r>
      <w:r>
        <w:rPr>
          <w:rFonts w:ascii="宋体" w:cs="宋体" w:hint="eastAsia"/>
          <w:szCs w:val="21"/>
          <w:vertAlign w:val="subscript"/>
        </w:rPr>
        <w:t>计算</w:t>
      </w:r>
      <w:r>
        <w:rPr>
          <w:rFonts w:ascii="宋体" w:cs="宋体" w:hint="eastAsia"/>
          <w:szCs w:val="21"/>
        </w:rPr>
        <w:t>如下表2。</w:t>
      </w:r>
    </w:p>
    <w:p w:rsidR="00557ED2" w:rsidRDefault="00B86B97">
      <w:pPr>
        <w:spacing w:line="300" w:lineRule="auto"/>
        <w:ind w:firstLineChars="200" w:firstLine="300"/>
        <w:jc w:val="center"/>
        <w:rPr>
          <w:rFonts w:ascii="黑体" w:eastAsia="黑体" w:cs="黑体"/>
          <w:sz w:val="15"/>
          <w:szCs w:val="15"/>
        </w:rPr>
      </w:pPr>
      <w:r>
        <w:rPr>
          <w:rFonts w:ascii="黑体" w:eastAsia="黑体" w:cs="黑体" w:hint="eastAsia"/>
          <w:sz w:val="15"/>
          <w:szCs w:val="15"/>
        </w:rPr>
        <w:t>表2    直读法和计算法的比较</w:t>
      </w:r>
    </w:p>
    <w:p w:rsidR="00557ED2" w:rsidRDefault="00B86B97">
      <w:pPr>
        <w:spacing w:line="300" w:lineRule="auto"/>
        <w:jc w:val="center"/>
        <w:rPr>
          <w:rFonts w:ascii="Times New Roman" w:hAnsi="Times New Roman" w:cs="Times New Roman"/>
          <w:b/>
          <w:bCs/>
          <w:color w:val="2B2B2B"/>
          <w:sz w:val="15"/>
          <w:szCs w:val="15"/>
          <w:shd w:val="clear" w:color="auto" w:fill="FAFAFA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Table</w:t>
      </w:r>
      <w:r>
        <w:rPr>
          <w:rFonts w:ascii="Times New Roman" w:hAnsi="Times New Roman" w:cs="Times New Roman" w:hint="eastAsia"/>
          <w:b/>
          <w:bCs/>
          <w:sz w:val="15"/>
          <w:szCs w:val="15"/>
        </w:rPr>
        <w:t>2</w:t>
      </w:r>
      <w:r>
        <w:rPr>
          <w:rFonts w:ascii="Times New Roman" w:hAnsi="Times New Roman" w:cs="Times New Roman"/>
          <w:b/>
          <w:bCs/>
          <w:sz w:val="15"/>
          <w:szCs w:val="15"/>
        </w:rPr>
        <w:t xml:space="preserve">  </w:t>
      </w:r>
      <w:r>
        <w:rPr>
          <w:rFonts w:ascii="Times New Roman" w:hAnsi="Times New Roman" w:cs="Times New Roman"/>
          <w:b/>
          <w:bCs/>
          <w:color w:val="2B2B2B"/>
          <w:sz w:val="15"/>
          <w:szCs w:val="15"/>
          <w:shd w:val="clear" w:color="auto" w:fill="FAFAFA"/>
        </w:rPr>
        <w:t>The comparison of</w:t>
      </w:r>
      <w:r>
        <w:rPr>
          <w:rFonts w:ascii="Times New Roman" w:hAnsi="Times New Roman" w:cs="Times New Roman" w:hint="eastAsia"/>
          <w:b/>
          <w:bCs/>
          <w:color w:val="2B2B2B"/>
          <w:sz w:val="15"/>
          <w:szCs w:val="15"/>
          <w:shd w:val="clear" w:color="auto" w:fill="FAFAFA"/>
        </w:rPr>
        <w:t xml:space="preserve"> p</w:t>
      </w:r>
      <w:r>
        <w:rPr>
          <w:rFonts w:ascii="Times New Roman" w:hAnsi="Times New Roman" w:cs="Times New Roman"/>
          <w:b/>
          <w:bCs/>
          <w:color w:val="2B2B2B"/>
          <w:sz w:val="15"/>
          <w:szCs w:val="15"/>
          <w:shd w:val="clear" w:color="auto" w:fill="FAFAFA"/>
        </w:rPr>
        <w:t>H (direct reading) and</w:t>
      </w:r>
      <w:r>
        <w:rPr>
          <w:rFonts w:ascii="Times New Roman" w:hAnsi="Times New Roman" w:cs="Times New Roman" w:hint="eastAsia"/>
          <w:b/>
          <w:bCs/>
          <w:color w:val="2B2B2B"/>
          <w:sz w:val="15"/>
          <w:szCs w:val="15"/>
          <w:shd w:val="clear" w:color="auto" w:fill="FAFAFA"/>
        </w:rPr>
        <w:t xml:space="preserve"> </w:t>
      </w:r>
      <w:r>
        <w:rPr>
          <w:rFonts w:ascii="Times New Roman" w:hAnsi="Times New Roman" w:cs="Times New Roman"/>
          <w:b/>
          <w:bCs/>
          <w:color w:val="2B2B2B"/>
          <w:sz w:val="15"/>
          <w:szCs w:val="15"/>
          <w:shd w:val="clear" w:color="auto" w:fill="FAFAFA"/>
        </w:rPr>
        <w:t>pH (calculated)</w:t>
      </w:r>
    </w:p>
    <w:tbl>
      <w:tblPr>
        <w:tblW w:w="8259" w:type="dxa"/>
        <w:tblInd w:w="-93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15" w:type="dxa"/>
          <w:right w:w="15" w:type="dxa"/>
        </w:tblCellMar>
        <w:tblLook w:val="04A0"/>
      </w:tblPr>
      <w:tblGrid>
        <w:gridCol w:w="2334"/>
        <w:gridCol w:w="1920"/>
        <w:gridCol w:w="1995"/>
        <w:gridCol w:w="2010"/>
      </w:tblGrid>
      <w:tr w:rsidR="00557ED2">
        <w:trPr>
          <w:trHeight w:val="349"/>
        </w:trPr>
        <w:tc>
          <w:tcPr>
            <w:tcW w:w="2334" w:type="dxa"/>
            <w:tcBorders>
              <w:bottom w:val="single" w:sz="4" w:space="0" w:color="auto"/>
            </w:tcBorders>
            <w:vAlign w:val="center"/>
          </w:tcPr>
          <w:p w:rsidR="00557ED2" w:rsidRDefault="00557ED2">
            <w:pPr>
              <w:autoSpaceDN w:val="0"/>
              <w:jc w:val="left"/>
              <w:textAlignment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557ED2" w:rsidRDefault="00B86B97">
            <w:pPr>
              <w:autoSpaceDN w:val="0"/>
              <w:jc w:val="center"/>
              <w:textAlignment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cs="宋体" w:hint="eastAsia"/>
                <w:sz w:val="15"/>
                <w:szCs w:val="15"/>
              </w:rPr>
              <w:t>1</w:t>
            </w:r>
            <w:r>
              <w:rPr>
                <w:rFonts w:ascii="宋体" w:cs="宋体" w:hint="eastAsia"/>
                <w:sz w:val="15"/>
                <w:szCs w:val="15"/>
                <w:vertAlign w:val="superscript"/>
              </w:rPr>
              <w:t>#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557ED2" w:rsidRDefault="00B86B97">
            <w:pPr>
              <w:autoSpaceDN w:val="0"/>
              <w:jc w:val="center"/>
              <w:textAlignment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cs="宋体" w:hint="eastAsia"/>
                <w:sz w:val="15"/>
                <w:szCs w:val="15"/>
              </w:rPr>
              <w:t>2</w:t>
            </w:r>
            <w:r>
              <w:rPr>
                <w:rFonts w:ascii="宋体" w:cs="宋体" w:hint="eastAsia"/>
                <w:sz w:val="15"/>
                <w:szCs w:val="15"/>
                <w:vertAlign w:val="superscript"/>
              </w:rPr>
              <w:t>#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557ED2" w:rsidRDefault="00B86B97">
            <w:pPr>
              <w:autoSpaceDN w:val="0"/>
              <w:jc w:val="center"/>
              <w:textAlignment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cs="宋体" w:hint="eastAsia"/>
                <w:sz w:val="15"/>
                <w:szCs w:val="15"/>
              </w:rPr>
              <w:t>3</w:t>
            </w:r>
            <w:r>
              <w:rPr>
                <w:rFonts w:ascii="宋体" w:cs="宋体" w:hint="eastAsia"/>
                <w:sz w:val="15"/>
                <w:szCs w:val="15"/>
                <w:vertAlign w:val="superscript"/>
              </w:rPr>
              <w:t>#</w:t>
            </w:r>
          </w:p>
        </w:tc>
      </w:tr>
      <w:tr w:rsidR="00557ED2">
        <w:trPr>
          <w:trHeight w:val="312"/>
        </w:trPr>
        <w:tc>
          <w:tcPr>
            <w:tcW w:w="2334" w:type="dxa"/>
            <w:tcBorders>
              <w:top w:val="single" w:sz="4" w:space="0" w:color="auto"/>
            </w:tcBorders>
            <w:vAlign w:val="center"/>
          </w:tcPr>
          <w:p w:rsidR="00557ED2" w:rsidRDefault="00B86B97">
            <w:pPr>
              <w:autoSpaceDN w:val="0"/>
              <w:jc w:val="center"/>
              <w:textAlignment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cs="宋体" w:hint="eastAsia"/>
                <w:sz w:val="15"/>
                <w:szCs w:val="15"/>
              </w:rPr>
              <w:t>pH</w:t>
            </w:r>
            <w:r>
              <w:rPr>
                <w:rFonts w:ascii="宋体" w:cs="宋体" w:hint="eastAsia"/>
                <w:sz w:val="15"/>
                <w:szCs w:val="15"/>
                <w:vertAlign w:val="subscript"/>
              </w:rPr>
              <w:t>直读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vAlign w:val="center"/>
          </w:tcPr>
          <w:p w:rsidR="00557ED2" w:rsidRDefault="00B86B97">
            <w:pPr>
              <w:autoSpaceDN w:val="0"/>
              <w:jc w:val="center"/>
              <w:textAlignment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color w:val="000000"/>
                <w:sz w:val="15"/>
                <w:szCs w:val="15"/>
              </w:rPr>
              <w:t>3.03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557ED2" w:rsidRDefault="00B86B97">
            <w:pPr>
              <w:autoSpaceDN w:val="0"/>
              <w:jc w:val="center"/>
              <w:textAlignment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color w:val="000000"/>
                <w:sz w:val="15"/>
                <w:szCs w:val="15"/>
              </w:rPr>
              <w:t>6.02</w:t>
            </w:r>
          </w:p>
        </w:tc>
        <w:tc>
          <w:tcPr>
            <w:tcW w:w="2010" w:type="dxa"/>
            <w:tcBorders>
              <w:top w:val="single" w:sz="4" w:space="0" w:color="auto"/>
            </w:tcBorders>
            <w:vAlign w:val="center"/>
          </w:tcPr>
          <w:p w:rsidR="00557ED2" w:rsidRDefault="00B86B97">
            <w:pPr>
              <w:autoSpaceDN w:val="0"/>
              <w:jc w:val="center"/>
              <w:textAlignment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color w:val="000000"/>
                <w:sz w:val="15"/>
                <w:szCs w:val="15"/>
              </w:rPr>
              <w:t xml:space="preserve">9.08 </w:t>
            </w:r>
          </w:p>
        </w:tc>
      </w:tr>
      <w:tr w:rsidR="00557ED2">
        <w:trPr>
          <w:trHeight w:val="285"/>
        </w:trPr>
        <w:tc>
          <w:tcPr>
            <w:tcW w:w="2334" w:type="dxa"/>
            <w:vAlign w:val="center"/>
          </w:tcPr>
          <w:p w:rsidR="00557ED2" w:rsidRDefault="00B86B97">
            <w:pPr>
              <w:autoSpaceDN w:val="0"/>
              <w:jc w:val="center"/>
              <w:textAlignment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cs="宋体" w:hint="eastAsia"/>
                <w:sz w:val="15"/>
                <w:szCs w:val="15"/>
              </w:rPr>
              <w:t>pH</w:t>
            </w:r>
            <w:r>
              <w:rPr>
                <w:rFonts w:ascii="宋体" w:cs="宋体" w:hint="eastAsia"/>
                <w:sz w:val="15"/>
                <w:szCs w:val="15"/>
                <w:vertAlign w:val="subscript"/>
              </w:rPr>
              <w:t>计算</w:t>
            </w:r>
          </w:p>
        </w:tc>
        <w:tc>
          <w:tcPr>
            <w:tcW w:w="1920" w:type="dxa"/>
            <w:vAlign w:val="center"/>
          </w:tcPr>
          <w:p w:rsidR="00557ED2" w:rsidRDefault="00B86B97">
            <w:pPr>
              <w:autoSpaceDN w:val="0"/>
              <w:jc w:val="center"/>
              <w:textAlignment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color w:val="000000"/>
                <w:sz w:val="15"/>
                <w:szCs w:val="15"/>
              </w:rPr>
              <w:t xml:space="preserve">3.05 </w:t>
            </w:r>
          </w:p>
        </w:tc>
        <w:tc>
          <w:tcPr>
            <w:tcW w:w="1995" w:type="dxa"/>
            <w:vAlign w:val="center"/>
          </w:tcPr>
          <w:p w:rsidR="00557ED2" w:rsidRDefault="00B86B97">
            <w:pPr>
              <w:autoSpaceDN w:val="0"/>
              <w:jc w:val="center"/>
              <w:textAlignment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color w:val="000000"/>
                <w:sz w:val="15"/>
                <w:szCs w:val="15"/>
              </w:rPr>
              <w:t>6.06</w:t>
            </w:r>
          </w:p>
        </w:tc>
        <w:tc>
          <w:tcPr>
            <w:tcW w:w="2010" w:type="dxa"/>
            <w:vAlign w:val="center"/>
          </w:tcPr>
          <w:p w:rsidR="00557ED2" w:rsidRDefault="00B86B97">
            <w:pPr>
              <w:autoSpaceDN w:val="0"/>
              <w:jc w:val="center"/>
              <w:textAlignment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color w:val="000000"/>
                <w:sz w:val="15"/>
                <w:szCs w:val="15"/>
              </w:rPr>
              <w:t>9.03</w:t>
            </w:r>
          </w:p>
        </w:tc>
      </w:tr>
    </w:tbl>
    <w:p w:rsidR="00557ED2" w:rsidRDefault="00557ED2">
      <w:pPr>
        <w:spacing w:line="300" w:lineRule="auto"/>
        <w:rPr>
          <w:rFonts w:ascii="黑体" w:eastAsia="黑体"/>
          <w:b/>
          <w:sz w:val="24"/>
        </w:rPr>
      </w:pPr>
    </w:p>
    <w:p w:rsidR="00557ED2" w:rsidRDefault="00B86B97">
      <w:pPr>
        <w:spacing w:line="300" w:lineRule="auto"/>
        <w:jc w:val="left"/>
        <w:rPr>
          <w:rFonts w:ascii="宋体" w:cs="宋体"/>
        </w:rPr>
      </w:pPr>
      <w:r>
        <w:rPr>
          <w:rFonts w:ascii="宋体" w:cs="宋体" w:hint="eastAsia"/>
        </w:rPr>
        <w:t>根据上表</w:t>
      </w:r>
      <w:r>
        <w:rPr>
          <w:rFonts w:ascii="宋体" w:cs="宋体" w:hint="eastAsia"/>
          <w:szCs w:val="21"/>
        </w:rPr>
        <w:t>2</w:t>
      </w:r>
      <w:r>
        <w:rPr>
          <w:rFonts w:ascii="宋体" w:cs="宋体" w:hint="eastAsia"/>
        </w:rPr>
        <w:t>进行讨论，得出结论，并分析如下：</w:t>
      </w:r>
    </w:p>
    <w:p w:rsidR="00557ED2" w:rsidRDefault="00B86B97">
      <w:pPr>
        <w:numPr>
          <w:ilvl w:val="0"/>
          <w:numId w:val="1"/>
        </w:numPr>
        <w:spacing w:line="300" w:lineRule="auto"/>
        <w:ind w:firstLine="420"/>
        <w:jc w:val="left"/>
        <w:rPr>
          <w:rFonts w:ascii="宋体" w:cs="宋体"/>
          <w:szCs w:val="21"/>
        </w:rPr>
      </w:pPr>
      <w:r>
        <w:rPr>
          <w:rFonts w:ascii="宋体" w:cs="宋体" w:hint="eastAsia"/>
          <w:szCs w:val="21"/>
        </w:rPr>
        <w:t>从上表2可见，</w:t>
      </w:r>
      <w:r>
        <w:rPr>
          <w:rFonts w:ascii="宋体" w:cs="宋体" w:hint="eastAsia"/>
          <w:i/>
          <w:iCs/>
          <w:szCs w:val="21"/>
        </w:rPr>
        <w:t>pH</w:t>
      </w:r>
      <w:r>
        <w:rPr>
          <w:rFonts w:ascii="宋体" w:cs="宋体" w:hint="eastAsia"/>
          <w:szCs w:val="21"/>
        </w:rPr>
        <w:t>模式下的直读值，和</w:t>
      </w:r>
      <w:r>
        <w:rPr>
          <w:rFonts w:ascii="宋体" w:cs="宋体" w:hint="eastAsia"/>
          <w:i/>
          <w:iCs/>
          <w:szCs w:val="21"/>
        </w:rPr>
        <w:t>mV</w:t>
      </w:r>
      <w:r>
        <w:rPr>
          <w:rFonts w:ascii="宋体" w:cs="宋体" w:hint="eastAsia"/>
          <w:szCs w:val="21"/>
        </w:rPr>
        <w:t>模式下计算值，两者基本相近。可验证:</w:t>
      </w:r>
      <w:r>
        <w:rPr>
          <w:rFonts w:ascii="宋体" w:cs="宋体" w:hint="eastAsia"/>
          <w:i/>
          <w:iCs/>
          <w:szCs w:val="21"/>
        </w:rPr>
        <w:t>pH</w:t>
      </w:r>
      <w:r>
        <w:rPr>
          <w:rFonts w:ascii="宋体" w:cs="宋体" w:hint="eastAsia"/>
          <w:szCs w:val="21"/>
        </w:rPr>
        <w:t>的定量公式为</w:t>
      </w:r>
      <w:r w:rsidR="00D57F08" w:rsidRPr="00D57F08">
        <w:rPr>
          <w:rFonts w:ascii="宋体" w:cs="宋体"/>
          <w:position w:val="-24"/>
          <w:szCs w:val="21"/>
        </w:rPr>
        <w:pict>
          <v:shape id="_x0000_i1029" type="#_x0000_t75" style="width:106.5pt;height:24.75pt">
            <v:imagedata r:id="rId7" o:title="9138734911464609476156"/>
          </v:shape>
        </w:pict>
      </w:r>
      <w:r>
        <w:rPr>
          <w:rFonts w:ascii="宋体" w:cs="宋体" w:hint="eastAsia"/>
          <w:szCs w:val="21"/>
        </w:rPr>
        <w:t>，</w:t>
      </w:r>
      <w:r>
        <w:rPr>
          <w:rFonts w:ascii="宋体" w:cs="宋体" w:hint="eastAsia"/>
          <w:i/>
          <w:iCs/>
          <w:szCs w:val="21"/>
        </w:rPr>
        <w:t>pH</w:t>
      </w:r>
      <w:r>
        <w:rPr>
          <w:rFonts w:ascii="宋体" w:cs="宋体" w:hint="eastAsia"/>
          <w:szCs w:val="21"/>
        </w:rPr>
        <w:t>模式下直读的pH值是仪器厂商将定量公式内置于仪器中，以便用户快速准确测定；</w:t>
      </w:r>
    </w:p>
    <w:p w:rsidR="00557ED2" w:rsidRDefault="00B86B97">
      <w:pPr>
        <w:spacing w:line="300" w:lineRule="auto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szCs w:val="21"/>
        </w:rPr>
        <w:t xml:space="preserve">    2）通过两种模式下pH测定的比较，深刻理解了电位分析法的定量原理。从原理可见，</w:t>
      </w:r>
      <w:r>
        <w:rPr>
          <w:rFonts w:ascii="宋体" w:cs="宋体" w:hint="eastAsia"/>
          <w:color w:val="000000"/>
          <w:kern w:val="0"/>
          <w:szCs w:val="21"/>
        </w:rPr>
        <w:t>标准缓冲溶液的</w:t>
      </w:r>
      <w:r>
        <w:rPr>
          <w:rFonts w:ascii="宋体" w:cs="宋体" w:hint="eastAsia"/>
          <w:szCs w:val="21"/>
        </w:rPr>
        <w:t>pH</w:t>
      </w:r>
      <w:r>
        <w:rPr>
          <w:rFonts w:ascii="宋体" w:cs="宋体" w:hint="eastAsia"/>
          <w:color w:val="000000"/>
          <w:kern w:val="0"/>
          <w:szCs w:val="21"/>
        </w:rPr>
        <w:t>值是否准确可靠，是准确测量</w:t>
      </w:r>
      <w:r>
        <w:rPr>
          <w:rFonts w:ascii="宋体" w:cs="宋体" w:hint="eastAsia"/>
          <w:szCs w:val="21"/>
        </w:rPr>
        <w:t>pH</w:t>
      </w:r>
      <w:r>
        <w:rPr>
          <w:rFonts w:ascii="宋体" w:cs="宋体" w:hint="eastAsia"/>
          <w:color w:val="000000"/>
          <w:kern w:val="0"/>
          <w:szCs w:val="21"/>
        </w:rPr>
        <w:t>值的关键。</w:t>
      </w:r>
    </w:p>
    <w:p w:rsidR="00557ED2" w:rsidRDefault="00B86B97">
      <w:pPr>
        <w:spacing w:line="300" w:lineRule="auto"/>
        <w:jc w:val="left"/>
        <w:rPr>
          <w:rFonts w:ascii="宋体" w:cs="宋体"/>
          <w:szCs w:val="21"/>
        </w:rPr>
      </w:pPr>
      <w:r>
        <w:rPr>
          <w:rFonts w:ascii="宋体" w:cs="宋体" w:hint="eastAsia"/>
          <w:szCs w:val="21"/>
        </w:rPr>
        <w:t xml:space="preserve">    3）根据电位分析定量原理，比较单标准法和双标准法分析结果可靠性：</w:t>
      </w:r>
    </w:p>
    <w:p w:rsidR="00557ED2" w:rsidRDefault="00B86B97">
      <w:pPr>
        <w:spacing w:line="300" w:lineRule="auto"/>
        <w:jc w:val="left"/>
        <w:rPr>
          <w:rFonts w:ascii="宋体" w:cs="宋体"/>
          <w:szCs w:val="21"/>
        </w:rPr>
      </w:pPr>
      <w:r>
        <w:rPr>
          <w:rFonts w:ascii="宋体" w:cs="宋体" w:hint="eastAsia"/>
          <w:szCs w:val="21"/>
        </w:rPr>
        <w:t xml:space="preserve">    a、25℃时，单标准法的理论响应斜率是59</w:t>
      </w:r>
      <w:r>
        <w:rPr>
          <w:rFonts w:ascii="宋体" w:cs="宋体" w:hint="eastAsia"/>
          <w:i/>
          <w:iCs/>
          <w:szCs w:val="21"/>
        </w:rPr>
        <w:t>mV</w:t>
      </w:r>
      <w:r>
        <w:rPr>
          <w:rFonts w:ascii="宋体" w:cs="宋体" w:hint="eastAsia"/>
          <w:szCs w:val="21"/>
        </w:rPr>
        <w:t>，若指示电极在实际测量中响应斜率不符合59</w:t>
      </w:r>
      <w:r>
        <w:rPr>
          <w:rFonts w:ascii="宋体" w:cs="宋体" w:hint="eastAsia"/>
          <w:i/>
          <w:iCs/>
          <w:szCs w:val="21"/>
        </w:rPr>
        <w:t>mV</w:t>
      </w:r>
      <w:r>
        <w:rPr>
          <w:rFonts w:ascii="宋体" w:cs="宋体" w:hint="eastAsia"/>
          <w:szCs w:val="21"/>
        </w:rPr>
        <w:t>的理论值，这时仍用一个标准pH缓冲溶液校准pH计，就会因电极响应斜率与仪器原设计值不一致引入测量误差。</w:t>
      </w:r>
    </w:p>
    <w:p w:rsidR="00557ED2" w:rsidRDefault="00B86B97">
      <w:pPr>
        <w:spacing w:line="300" w:lineRule="auto"/>
        <w:jc w:val="left"/>
        <w:rPr>
          <w:rFonts w:ascii="宋体" w:cs="宋体"/>
          <w:szCs w:val="21"/>
        </w:rPr>
      </w:pPr>
      <w:r>
        <w:rPr>
          <w:rFonts w:ascii="宋体" w:cs="宋体" w:hint="eastAsia"/>
          <w:szCs w:val="21"/>
        </w:rPr>
        <w:t xml:space="preserve">    b、双标准pH缓冲溶液测定时，电位计的单位pH变化率S可校定为：</w:t>
      </w:r>
    </w:p>
    <w:p w:rsidR="00557ED2" w:rsidRDefault="00B86B97">
      <w:pPr>
        <w:spacing w:line="300" w:lineRule="auto"/>
        <w:jc w:val="left"/>
        <w:rPr>
          <w:rFonts w:ascii="宋体" w:cs="宋体"/>
          <w:szCs w:val="21"/>
        </w:rPr>
      </w:pPr>
      <w:r>
        <w:rPr>
          <w:rFonts w:ascii="宋体" w:cs="宋体" w:hint="eastAsia"/>
          <w:noProof/>
          <w:szCs w:val="21"/>
        </w:rPr>
        <w:drawing>
          <wp:inline distT="0" distB="0" distL="114300" distR="114300">
            <wp:extent cx="1010285" cy="306070"/>
            <wp:effectExtent l="0" t="0" r="0" b="0"/>
            <wp:docPr id="11" name="图片 11" descr="image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30607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hint="eastAsia"/>
          <w:szCs w:val="21"/>
        </w:rPr>
        <w:t>，可消除电极响应斜率与仪器原设计值不一致引入的误差。</w:t>
      </w:r>
    </w:p>
    <w:p w:rsidR="00557ED2" w:rsidRDefault="00B86B97">
      <w:pPr>
        <w:spacing w:line="300" w:lineRule="auto"/>
        <w:ind w:firstLine="420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szCs w:val="21"/>
        </w:rPr>
        <w:lastRenderedPageBreak/>
        <w:t>可见：双标准法可以消除电极响应斜率带来的误差，相对来说，双标准法比单标准法分析结果更为准确可靠。</w:t>
      </w:r>
    </w:p>
    <w:p w:rsidR="00557ED2" w:rsidRDefault="00557ED2">
      <w:pPr>
        <w:spacing w:line="300" w:lineRule="auto"/>
        <w:rPr>
          <w:rFonts w:ascii="宋体"/>
          <w:szCs w:val="21"/>
        </w:rPr>
      </w:pPr>
    </w:p>
    <w:p w:rsidR="00557ED2" w:rsidRDefault="00B86B97">
      <w:pPr>
        <w:spacing w:line="300" w:lineRule="auto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2 测定装置比较实验</w:t>
      </w:r>
    </w:p>
    <w:p w:rsidR="00557ED2" w:rsidRDefault="00B86B97">
      <w:pPr>
        <w:spacing w:line="300" w:lineRule="auto"/>
        <w:rPr>
          <w:rFonts w:ascii="宋体" w:cs="宋体"/>
          <w:szCs w:val="21"/>
        </w:rPr>
      </w:pPr>
      <w:r>
        <w:rPr>
          <w:rFonts w:ascii="黑体" w:eastAsia="黑体" w:cs="黑体" w:hint="eastAsia"/>
          <w:szCs w:val="21"/>
        </w:rPr>
        <w:t xml:space="preserve">    </w:t>
      </w:r>
      <w:r>
        <w:rPr>
          <w:rFonts w:ascii="宋体" w:cs="宋体" w:hint="eastAsia"/>
        </w:rPr>
        <w:t>根据理论方法原理，</w:t>
      </w:r>
      <w:r>
        <w:rPr>
          <w:rFonts w:ascii="宋体" w:cs="宋体" w:hint="eastAsia"/>
          <w:szCs w:val="21"/>
        </w:rPr>
        <w:t>pH</w:t>
      </w:r>
      <w:r>
        <w:rPr>
          <w:rFonts w:ascii="宋体" w:cs="宋体" w:hint="eastAsia"/>
        </w:rPr>
        <w:t>测定是在指示电极、参比电极、电解质溶液组成的原电池基础上测定电动势。然而</w:t>
      </w:r>
      <w:r>
        <w:rPr>
          <w:rFonts w:ascii="宋体" w:cs="宋体" w:hint="eastAsia"/>
          <w:szCs w:val="21"/>
        </w:rPr>
        <w:t>1.2</w:t>
      </w:r>
      <w:r>
        <w:rPr>
          <w:rFonts w:ascii="宋体" w:cs="宋体" w:hint="eastAsia"/>
        </w:rPr>
        <w:t>测定实验中却只用了</w:t>
      </w:r>
      <w:r>
        <w:rPr>
          <w:rFonts w:ascii="宋体" w:cs="宋体" w:hint="eastAsia"/>
          <w:szCs w:val="21"/>
        </w:rPr>
        <w:t>1</w:t>
      </w:r>
      <w:r>
        <w:rPr>
          <w:rFonts w:ascii="宋体" w:cs="宋体" w:hint="eastAsia"/>
        </w:rPr>
        <w:t>支电极，和理论中所说的</w:t>
      </w:r>
      <w:r>
        <w:rPr>
          <w:rFonts w:ascii="宋体" w:cs="宋体" w:hint="eastAsia"/>
          <w:szCs w:val="21"/>
        </w:rPr>
        <w:t>2</w:t>
      </w:r>
      <w:r>
        <w:rPr>
          <w:rFonts w:ascii="宋体" w:cs="宋体" w:hint="eastAsia"/>
        </w:rPr>
        <w:t>支电极不符，以致学生心有不解。本实验通过</w:t>
      </w:r>
      <w:r>
        <w:rPr>
          <w:rFonts w:ascii="宋体" w:cs="宋体" w:hint="eastAsia"/>
          <w:szCs w:val="21"/>
        </w:rPr>
        <w:t>1</w:t>
      </w:r>
      <w:r>
        <w:rPr>
          <w:rFonts w:ascii="宋体" w:cs="宋体" w:hint="eastAsia"/>
        </w:rPr>
        <w:t>支电极（</w:t>
      </w:r>
      <w:r>
        <w:rPr>
          <w:rFonts w:ascii="宋体" w:cs="宋体" w:hint="eastAsia"/>
          <w:szCs w:val="21"/>
        </w:rPr>
        <w:t>pH</w:t>
      </w:r>
      <w:r>
        <w:rPr>
          <w:rFonts w:ascii="宋体" w:cs="宋体" w:hint="eastAsia"/>
        </w:rPr>
        <w:t>复合电极）和</w:t>
      </w:r>
      <w:r>
        <w:rPr>
          <w:rFonts w:ascii="宋体" w:cs="宋体" w:hint="eastAsia"/>
          <w:szCs w:val="21"/>
        </w:rPr>
        <w:t>2</w:t>
      </w:r>
      <w:r>
        <w:rPr>
          <w:rFonts w:ascii="宋体" w:cs="宋体" w:hint="eastAsia"/>
        </w:rPr>
        <w:t>支电极（参比电极+玻璃电极）对比实验，帮助学生理解</w:t>
      </w:r>
      <w:r>
        <w:rPr>
          <w:rFonts w:ascii="宋体" w:cs="宋体" w:hint="eastAsia"/>
          <w:szCs w:val="21"/>
        </w:rPr>
        <w:t>pH</w:t>
      </w:r>
      <w:r>
        <w:rPr>
          <w:rFonts w:ascii="宋体" w:cs="宋体" w:hint="eastAsia"/>
        </w:rPr>
        <w:t>复合电极结构，理解</w:t>
      </w:r>
      <w:r>
        <w:rPr>
          <w:rFonts w:ascii="宋体" w:cs="宋体" w:hint="eastAsia"/>
          <w:szCs w:val="21"/>
        </w:rPr>
        <w:t>pH</w:t>
      </w:r>
      <w:r>
        <w:rPr>
          <w:rFonts w:ascii="宋体" w:cs="宋体" w:hint="eastAsia"/>
        </w:rPr>
        <w:t>测定装置。</w:t>
      </w:r>
    </w:p>
    <w:p w:rsidR="00557ED2" w:rsidRDefault="00B86B97">
      <w:pPr>
        <w:spacing w:line="300" w:lineRule="auto"/>
        <w:rPr>
          <w:rFonts w:ascii="黑体" w:eastAsia="黑体" w:cs="黑体"/>
          <w:szCs w:val="21"/>
        </w:rPr>
      </w:pPr>
      <w:r>
        <w:rPr>
          <w:rFonts w:ascii="黑体" w:eastAsia="黑体" w:cs="黑体" w:hint="eastAsia"/>
          <w:szCs w:val="21"/>
        </w:rPr>
        <w:t>2.1 一支电极（pH复合电极）和两支电极（参比电极+玻璃电极）对比实验</w:t>
      </w:r>
    </w:p>
    <w:p w:rsidR="00557ED2" w:rsidRDefault="00B86B97">
      <w:pPr>
        <w:spacing w:line="300" w:lineRule="auto"/>
        <w:rPr>
          <w:rFonts w:ascii="宋体" w:cs="宋体"/>
        </w:rPr>
      </w:pPr>
      <w:r>
        <w:rPr>
          <w:rFonts w:ascii="宋体" w:cs="宋体" w:hint="eastAsia"/>
          <w:szCs w:val="21"/>
        </w:rPr>
        <w:t>2.1.1</w:t>
      </w:r>
      <w:r>
        <w:rPr>
          <w:rFonts w:ascii="宋体" w:cs="宋体" w:hint="eastAsia"/>
        </w:rPr>
        <w:t>一支电极（</w:t>
      </w:r>
      <w:r>
        <w:rPr>
          <w:rFonts w:ascii="宋体" w:cs="宋体" w:hint="eastAsia"/>
          <w:szCs w:val="21"/>
        </w:rPr>
        <w:t>pH</w:t>
      </w:r>
      <w:r>
        <w:rPr>
          <w:rFonts w:ascii="宋体" w:cs="宋体" w:hint="eastAsia"/>
        </w:rPr>
        <w:t>复合电极）</w:t>
      </w:r>
    </w:p>
    <w:p w:rsidR="00557ED2" w:rsidRDefault="00B86B97">
      <w:pPr>
        <w:spacing w:line="300" w:lineRule="auto"/>
        <w:rPr>
          <w:rFonts w:ascii="宋体" w:cs="宋体"/>
          <w:szCs w:val="21"/>
        </w:rPr>
      </w:pPr>
      <w:r>
        <w:rPr>
          <w:rFonts w:ascii="宋体" w:cs="宋体" w:hint="eastAsia"/>
          <w:szCs w:val="21"/>
        </w:rPr>
        <w:t xml:space="preserve">    将</w:t>
      </w:r>
      <w:r>
        <w:rPr>
          <w:rFonts w:ascii="宋体" w:cs="宋体" w:hint="eastAsia"/>
          <w:i/>
          <w:iCs/>
          <w:szCs w:val="21"/>
        </w:rPr>
        <w:t>pH</w:t>
      </w:r>
      <w:r>
        <w:rPr>
          <w:rFonts w:ascii="宋体" w:cs="宋体" w:hint="eastAsia"/>
          <w:szCs w:val="21"/>
        </w:rPr>
        <w:t>复合电极、电位计、标准溶液连接成原电池，按仪器说明书用双标准法定位校正仪器，测定待测溶液，并直接读出待测溶液1</w:t>
      </w:r>
      <w:r>
        <w:rPr>
          <w:rFonts w:ascii="宋体" w:cs="宋体" w:hint="eastAsia"/>
          <w:szCs w:val="21"/>
          <w:vertAlign w:val="superscript"/>
        </w:rPr>
        <w:t>#</w:t>
      </w:r>
      <w:r>
        <w:rPr>
          <w:rFonts w:ascii="宋体" w:cs="宋体" w:hint="eastAsia"/>
          <w:szCs w:val="21"/>
        </w:rPr>
        <w:t>、2</w:t>
      </w:r>
      <w:r>
        <w:rPr>
          <w:rFonts w:ascii="宋体" w:cs="宋体" w:hint="eastAsia"/>
          <w:szCs w:val="21"/>
          <w:vertAlign w:val="superscript"/>
        </w:rPr>
        <w:t>#</w:t>
      </w:r>
      <w:r>
        <w:rPr>
          <w:rFonts w:ascii="宋体" w:cs="宋体" w:hint="eastAsia"/>
          <w:szCs w:val="21"/>
        </w:rPr>
        <w:t>、3</w:t>
      </w:r>
      <w:r>
        <w:rPr>
          <w:rFonts w:ascii="宋体" w:cs="宋体" w:hint="eastAsia"/>
          <w:szCs w:val="21"/>
          <w:vertAlign w:val="superscript"/>
        </w:rPr>
        <w:t>#</w:t>
      </w:r>
      <w:r>
        <w:rPr>
          <w:rFonts w:ascii="宋体" w:cs="宋体" w:hint="eastAsia"/>
          <w:szCs w:val="21"/>
        </w:rPr>
        <w:t>的值如下表3中pH（复合电极）。</w:t>
      </w:r>
    </w:p>
    <w:p w:rsidR="00557ED2" w:rsidRDefault="00B86B97">
      <w:pPr>
        <w:spacing w:line="300" w:lineRule="auto"/>
        <w:rPr>
          <w:rFonts w:ascii="宋体" w:cs="宋体"/>
        </w:rPr>
      </w:pPr>
      <w:r>
        <w:rPr>
          <w:rFonts w:ascii="宋体" w:cs="宋体" w:hint="eastAsia"/>
          <w:szCs w:val="21"/>
        </w:rPr>
        <w:t xml:space="preserve">2.1.2 </w:t>
      </w:r>
      <w:r>
        <w:rPr>
          <w:rFonts w:ascii="宋体" w:cs="宋体" w:hint="eastAsia"/>
        </w:rPr>
        <w:t>两支电极（参比电极+玻璃电极）</w:t>
      </w:r>
    </w:p>
    <w:p w:rsidR="00557ED2" w:rsidRDefault="00B86B97">
      <w:pPr>
        <w:spacing w:line="300" w:lineRule="auto"/>
        <w:rPr>
          <w:rFonts w:ascii="宋体" w:cs="宋体"/>
          <w:szCs w:val="21"/>
        </w:rPr>
      </w:pPr>
      <w:r>
        <w:rPr>
          <w:rFonts w:ascii="宋体" w:cs="宋体" w:hint="eastAsia"/>
        </w:rPr>
        <w:t xml:space="preserve">    </w:t>
      </w:r>
      <w:r>
        <w:rPr>
          <w:rFonts w:ascii="宋体" w:cs="宋体" w:hint="eastAsia"/>
          <w:szCs w:val="21"/>
        </w:rPr>
        <w:t>将参比电极、玻璃电极、电位计、标准溶液连接成原电池，按仪器说明书用双标准法定位校正仪器，测定待测溶液，并直接读出待测溶液1</w:t>
      </w:r>
      <w:r>
        <w:rPr>
          <w:rFonts w:ascii="宋体" w:cs="宋体" w:hint="eastAsia"/>
          <w:szCs w:val="21"/>
          <w:vertAlign w:val="superscript"/>
        </w:rPr>
        <w:t>#</w:t>
      </w:r>
      <w:r>
        <w:rPr>
          <w:rFonts w:ascii="宋体" w:cs="宋体" w:hint="eastAsia"/>
          <w:szCs w:val="21"/>
        </w:rPr>
        <w:t>、2</w:t>
      </w:r>
      <w:r>
        <w:rPr>
          <w:rFonts w:ascii="宋体" w:cs="宋体" w:hint="eastAsia"/>
          <w:szCs w:val="21"/>
          <w:vertAlign w:val="superscript"/>
        </w:rPr>
        <w:t>#</w:t>
      </w:r>
      <w:r>
        <w:rPr>
          <w:rFonts w:ascii="宋体" w:cs="宋体" w:hint="eastAsia"/>
          <w:szCs w:val="21"/>
        </w:rPr>
        <w:t>、3</w:t>
      </w:r>
      <w:r>
        <w:rPr>
          <w:rFonts w:ascii="宋体" w:cs="宋体" w:hint="eastAsia"/>
          <w:szCs w:val="21"/>
          <w:vertAlign w:val="superscript"/>
        </w:rPr>
        <w:t>#</w:t>
      </w:r>
      <w:r>
        <w:rPr>
          <w:rFonts w:ascii="宋体" w:cs="宋体" w:hint="eastAsia"/>
          <w:szCs w:val="21"/>
        </w:rPr>
        <w:t xml:space="preserve">的值如下表3中pH（参比电极+玻璃电极）。   </w:t>
      </w:r>
    </w:p>
    <w:p w:rsidR="00557ED2" w:rsidRDefault="00B86B97">
      <w:pPr>
        <w:spacing w:line="300" w:lineRule="auto"/>
        <w:rPr>
          <w:rFonts w:ascii="黑体" w:eastAsia="黑体" w:cs="黑体"/>
          <w:szCs w:val="21"/>
        </w:rPr>
      </w:pPr>
      <w:r>
        <w:rPr>
          <w:rFonts w:ascii="黑体" w:eastAsia="黑体" w:cs="黑体" w:hint="eastAsia"/>
          <w:szCs w:val="21"/>
        </w:rPr>
        <w:t>2.2 数据比较分析</w:t>
      </w:r>
    </w:p>
    <w:p w:rsidR="00557ED2" w:rsidRDefault="00B86B97">
      <w:pPr>
        <w:spacing w:line="300" w:lineRule="auto"/>
        <w:rPr>
          <w:rFonts w:ascii="宋体" w:cs="宋体"/>
          <w:szCs w:val="21"/>
        </w:rPr>
      </w:pPr>
      <w:r>
        <w:rPr>
          <w:rFonts w:ascii="宋体" w:cs="宋体" w:hint="eastAsia"/>
          <w:szCs w:val="21"/>
        </w:rPr>
        <w:t xml:space="preserve">    根据2.1.1和2.1.2，得到的pH（复合电极）和pH（参比电极+玻璃电极）的比较数据如下表3。</w:t>
      </w:r>
    </w:p>
    <w:p w:rsidR="00557ED2" w:rsidRDefault="00B86B97">
      <w:pPr>
        <w:jc w:val="center"/>
        <w:rPr>
          <w:rFonts w:ascii="黑体" w:eastAsia="黑体" w:cs="黑体"/>
          <w:sz w:val="15"/>
          <w:szCs w:val="15"/>
        </w:rPr>
      </w:pPr>
      <w:r>
        <w:rPr>
          <w:rFonts w:ascii="黑体" w:eastAsia="黑体" w:cs="黑体" w:hint="eastAsia"/>
          <w:sz w:val="15"/>
          <w:szCs w:val="15"/>
        </w:rPr>
        <w:t>表3  pH（复合电极）与pH（参比电极、玻璃电极）的比较</w:t>
      </w:r>
    </w:p>
    <w:p w:rsidR="00557ED2" w:rsidRDefault="00B86B97">
      <w:pPr>
        <w:jc w:val="center"/>
        <w:rPr>
          <w:rFonts w:ascii="黑体" w:eastAsia="黑体" w:cs="黑体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color w:val="000000"/>
          <w:sz w:val="15"/>
          <w:szCs w:val="15"/>
        </w:rPr>
        <w:t xml:space="preserve">Table </w:t>
      </w:r>
      <w:r>
        <w:rPr>
          <w:rFonts w:ascii="Times New Roman" w:hAnsi="Times New Roman" w:cs="Times New Roman" w:hint="eastAsia"/>
          <w:b/>
          <w:bCs/>
          <w:color w:val="000000"/>
          <w:sz w:val="15"/>
          <w:szCs w:val="15"/>
        </w:rPr>
        <w:t xml:space="preserve">3 </w:t>
      </w:r>
      <w:r>
        <w:rPr>
          <w:rFonts w:ascii="Times New Roman" w:hAnsi="Times New Roman" w:cs="Times New Roman"/>
          <w:b/>
          <w:bCs/>
          <w:color w:val="000000"/>
          <w:sz w:val="15"/>
          <w:szCs w:val="15"/>
        </w:rPr>
        <w:t xml:space="preserve"> </w:t>
      </w:r>
      <w:r>
        <w:rPr>
          <w:rFonts w:ascii="Times New Roman" w:hAnsi="Times New Roman" w:cs="Times New Roman"/>
          <w:b/>
          <w:bCs/>
          <w:color w:val="2B2B2B"/>
          <w:sz w:val="15"/>
          <w:szCs w:val="15"/>
          <w:shd w:val="clear" w:color="auto" w:fill="FAFAFA"/>
        </w:rPr>
        <w:t>The</w:t>
      </w:r>
      <w:r>
        <w:rPr>
          <w:rFonts w:ascii="Times New Roman" w:hAnsi="Times New Roman" w:cs="Times New Roman" w:hint="eastAsia"/>
          <w:b/>
          <w:bCs/>
          <w:color w:val="2B2B2B"/>
          <w:sz w:val="15"/>
          <w:szCs w:val="15"/>
          <w:shd w:val="clear" w:color="auto" w:fill="FAFAFA"/>
        </w:rPr>
        <w:t xml:space="preserve"> </w:t>
      </w:r>
      <w:r>
        <w:rPr>
          <w:rFonts w:ascii="Times New Roman" w:hAnsi="Times New Roman" w:cs="Times New Roman"/>
          <w:b/>
          <w:bCs/>
          <w:color w:val="2B2B2B"/>
          <w:sz w:val="15"/>
          <w:szCs w:val="15"/>
          <w:shd w:val="clear" w:color="auto" w:fill="FAFAFA"/>
        </w:rPr>
        <w:t>comparison of</w:t>
      </w:r>
      <w:r>
        <w:rPr>
          <w:rFonts w:ascii="Times New Roman" w:hAnsi="Times New Roman" w:cs="Times New Roman" w:hint="eastAsia"/>
          <w:b/>
          <w:bCs/>
          <w:color w:val="2B2B2B"/>
          <w:sz w:val="15"/>
          <w:szCs w:val="15"/>
          <w:shd w:val="clear" w:color="auto" w:fill="FAFAFA"/>
        </w:rPr>
        <w:t xml:space="preserve"> the</w:t>
      </w:r>
      <w:r>
        <w:rPr>
          <w:rFonts w:ascii="Times New Roman" w:hAnsi="Times New Roman" w:cs="Times New Roman"/>
          <w:b/>
          <w:bCs/>
          <w:color w:val="2B2B2B"/>
          <w:sz w:val="15"/>
          <w:szCs w:val="15"/>
          <w:shd w:val="clear" w:color="auto" w:fill="FAFAFA"/>
        </w:rPr>
        <w:t xml:space="preserve"> </w:t>
      </w:r>
      <w:r>
        <w:rPr>
          <w:rFonts w:ascii="Times New Roman" w:hAnsi="Times New Roman" w:cs="Times New Roman" w:hint="eastAsia"/>
          <w:b/>
          <w:bCs/>
          <w:color w:val="2B2B2B"/>
          <w:sz w:val="15"/>
          <w:szCs w:val="15"/>
          <w:shd w:val="clear" w:color="auto" w:fill="FAFAFA"/>
        </w:rPr>
        <w:t>p</w:t>
      </w:r>
      <w:r>
        <w:rPr>
          <w:rFonts w:ascii="Times New Roman" w:hAnsi="Times New Roman" w:cs="Times New Roman"/>
          <w:b/>
          <w:bCs/>
          <w:color w:val="2B2B2B"/>
          <w:sz w:val="15"/>
          <w:szCs w:val="15"/>
          <w:shd w:val="clear" w:color="auto" w:fill="FAFAFA"/>
        </w:rPr>
        <w:t>H (composite electrode</w:t>
      </w:r>
      <w:r>
        <w:rPr>
          <w:rFonts w:ascii="Times New Roman" w:hAnsi="Times New Roman" w:cs="Times New Roman" w:hint="eastAsia"/>
          <w:b/>
          <w:bCs/>
          <w:color w:val="2B2B2B"/>
          <w:sz w:val="15"/>
          <w:szCs w:val="15"/>
          <w:shd w:val="clear" w:color="auto" w:fill="FAFAFA"/>
        </w:rPr>
        <w:t xml:space="preserve">) and </w:t>
      </w:r>
      <w:r>
        <w:rPr>
          <w:rFonts w:ascii="Times New Roman" w:hAnsi="Times New Roman" w:cs="Times New Roman"/>
          <w:b/>
          <w:bCs/>
          <w:color w:val="2B2B2B"/>
          <w:sz w:val="15"/>
          <w:szCs w:val="15"/>
          <w:shd w:val="clear" w:color="auto" w:fill="FAFAFA"/>
        </w:rPr>
        <w:t xml:space="preserve">the </w:t>
      </w:r>
      <w:r>
        <w:rPr>
          <w:rFonts w:ascii="Times New Roman" w:hAnsi="Times New Roman" w:cs="Times New Roman" w:hint="eastAsia"/>
          <w:b/>
          <w:bCs/>
          <w:color w:val="2B2B2B"/>
          <w:sz w:val="15"/>
          <w:szCs w:val="15"/>
          <w:shd w:val="clear" w:color="auto" w:fill="FAFAFA"/>
        </w:rPr>
        <w:t>p</w:t>
      </w:r>
      <w:r>
        <w:rPr>
          <w:rFonts w:ascii="Times New Roman" w:hAnsi="Times New Roman" w:cs="Times New Roman"/>
          <w:b/>
          <w:bCs/>
          <w:color w:val="2B2B2B"/>
          <w:sz w:val="15"/>
          <w:szCs w:val="15"/>
          <w:shd w:val="clear" w:color="auto" w:fill="FAFAFA"/>
        </w:rPr>
        <w:t>H (reference electrode, glass electrode)</w:t>
      </w:r>
    </w:p>
    <w:tbl>
      <w:tblPr>
        <w:tblW w:w="8259" w:type="dxa"/>
        <w:tblInd w:w="-93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15" w:type="dxa"/>
          <w:right w:w="15" w:type="dxa"/>
        </w:tblCellMar>
        <w:tblLook w:val="04A0"/>
      </w:tblPr>
      <w:tblGrid>
        <w:gridCol w:w="2334"/>
        <w:gridCol w:w="1920"/>
        <w:gridCol w:w="1995"/>
        <w:gridCol w:w="2010"/>
      </w:tblGrid>
      <w:tr w:rsidR="00557ED2">
        <w:trPr>
          <w:trHeight w:val="349"/>
        </w:trPr>
        <w:tc>
          <w:tcPr>
            <w:tcW w:w="2334" w:type="dxa"/>
            <w:tcBorders>
              <w:bottom w:val="single" w:sz="4" w:space="0" w:color="auto"/>
            </w:tcBorders>
            <w:vAlign w:val="center"/>
          </w:tcPr>
          <w:p w:rsidR="00557ED2" w:rsidRDefault="00557ED2">
            <w:pPr>
              <w:autoSpaceDN w:val="0"/>
              <w:jc w:val="left"/>
              <w:textAlignment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557ED2" w:rsidRDefault="00B86B97">
            <w:pPr>
              <w:autoSpaceDN w:val="0"/>
              <w:jc w:val="center"/>
              <w:textAlignment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cs="宋体" w:hint="eastAsia"/>
                <w:sz w:val="15"/>
                <w:szCs w:val="15"/>
              </w:rPr>
              <w:t>1</w:t>
            </w:r>
            <w:r>
              <w:rPr>
                <w:rFonts w:ascii="宋体" w:cs="宋体" w:hint="eastAsia"/>
                <w:sz w:val="15"/>
                <w:szCs w:val="15"/>
                <w:vertAlign w:val="superscript"/>
              </w:rPr>
              <w:t>#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557ED2" w:rsidRDefault="00B86B97">
            <w:pPr>
              <w:autoSpaceDN w:val="0"/>
              <w:jc w:val="center"/>
              <w:textAlignment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cs="宋体" w:hint="eastAsia"/>
                <w:sz w:val="15"/>
                <w:szCs w:val="15"/>
              </w:rPr>
              <w:t>2</w:t>
            </w:r>
            <w:r>
              <w:rPr>
                <w:rFonts w:ascii="宋体" w:cs="宋体" w:hint="eastAsia"/>
                <w:sz w:val="15"/>
                <w:szCs w:val="15"/>
                <w:vertAlign w:val="superscript"/>
              </w:rPr>
              <w:t>#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557ED2" w:rsidRDefault="00B86B97">
            <w:pPr>
              <w:autoSpaceDN w:val="0"/>
              <w:jc w:val="center"/>
              <w:textAlignment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cs="宋体" w:hint="eastAsia"/>
                <w:sz w:val="15"/>
                <w:szCs w:val="15"/>
              </w:rPr>
              <w:t>3</w:t>
            </w:r>
            <w:r>
              <w:rPr>
                <w:rFonts w:ascii="宋体" w:cs="宋体" w:hint="eastAsia"/>
                <w:sz w:val="15"/>
                <w:szCs w:val="15"/>
                <w:vertAlign w:val="superscript"/>
              </w:rPr>
              <w:t>#</w:t>
            </w:r>
          </w:p>
        </w:tc>
      </w:tr>
      <w:tr w:rsidR="00557ED2">
        <w:trPr>
          <w:trHeight w:val="312"/>
        </w:trPr>
        <w:tc>
          <w:tcPr>
            <w:tcW w:w="2334" w:type="dxa"/>
            <w:tcBorders>
              <w:top w:val="single" w:sz="4" w:space="0" w:color="auto"/>
            </w:tcBorders>
            <w:vAlign w:val="center"/>
          </w:tcPr>
          <w:p w:rsidR="00557ED2" w:rsidRDefault="00B86B97">
            <w:pPr>
              <w:autoSpaceDN w:val="0"/>
              <w:jc w:val="center"/>
              <w:textAlignment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cs="宋体" w:hint="eastAsia"/>
                <w:sz w:val="15"/>
                <w:szCs w:val="15"/>
              </w:rPr>
              <w:t>pH（复合电极）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vAlign w:val="center"/>
          </w:tcPr>
          <w:p w:rsidR="00557ED2" w:rsidRDefault="00B86B97">
            <w:pPr>
              <w:autoSpaceDN w:val="0"/>
              <w:jc w:val="center"/>
              <w:textAlignment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color w:val="000000"/>
                <w:sz w:val="15"/>
                <w:szCs w:val="15"/>
              </w:rPr>
              <w:t xml:space="preserve">3.01 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557ED2" w:rsidRDefault="00B86B97">
            <w:pPr>
              <w:autoSpaceDN w:val="0"/>
              <w:jc w:val="center"/>
              <w:textAlignment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color w:val="000000"/>
                <w:sz w:val="15"/>
                <w:szCs w:val="15"/>
              </w:rPr>
              <w:t>6.06</w:t>
            </w:r>
          </w:p>
        </w:tc>
        <w:tc>
          <w:tcPr>
            <w:tcW w:w="2010" w:type="dxa"/>
            <w:tcBorders>
              <w:top w:val="single" w:sz="4" w:space="0" w:color="auto"/>
            </w:tcBorders>
            <w:vAlign w:val="center"/>
          </w:tcPr>
          <w:p w:rsidR="00557ED2" w:rsidRDefault="00B86B97">
            <w:pPr>
              <w:autoSpaceDN w:val="0"/>
              <w:jc w:val="center"/>
              <w:textAlignment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color w:val="000000"/>
                <w:sz w:val="15"/>
                <w:szCs w:val="15"/>
              </w:rPr>
              <w:t>9.06</w:t>
            </w:r>
          </w:p>
        </w:tc>
      </w:tr>
      <w:tr w:rsidR="00557ED2">
        <w:trPr>
          <w:trHeight w:val="285"/>
        </w:trPr>
        <w:tc>
          <w:tcPr>
            <w:tcW w:w="2334" w:type="dxa"/>
            <w:vAlign w:val="center"/>
          </w:tcPr>
          <w:p w:rsidR="00557ED2" w:rsidRDefault="00B86B97">
            <w:pPr>
              <w:autoSpaceDN w:val="0"/>
              <w:jc w:val="center"/>
              <w:textAlignment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cs="宋体" w:hint="eastAsia"/>
                <w:sz w:val="15"/>
                <w:szCs w:val="15"/>
              </w:rPr>
              <w:t>pH（参比电极+玻璃电极）</w:t>
            </w:r>
          </w:p>
        </w:tc>
        <w:tc>
          <w:tcPr>
            <w:tcW w:w="1920" w:type="dxa"/>
            <w:vAlign w:val="center"/>
          </w:tcPr>
          <w:p w:rsidR="00557ED2" w:rsidRDefault="00B86B97">
            <w:pPr>
              <w:autoSpaceDN w:val="0"/>
              <w:jc w:val="center"/>
              <w:textAlignment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color w:val="000000"/>
                <w:sz w:val="15"/>
                <w:szCs w:val="15"/>
              </w:rPr>
              <w:t>3.02</w:t>
            </w:r>
          </w:p>
        </w:tc>
        <w:tc>
          <w:tcPr>
            <w:tcW w:w="1995" w:type="dxa"/>
            <w:vAlign w:val="center"/>
          </w:tcPr>
          <w:p w:rsidR="00557ED2" w:rsidRDefault="00B86B97">
            <w:pPr>
              <w:autoSpaceDN w:val="0"/>
              <w:jc w:val="center"/>
              <w:textAlignment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color w:val="000000"/>
                <w:sz w:val="15"/>
                <w:szCs w:val="15"/>
              </w:rPr>
              <w:t>6.10</w:t>
            </w:r>
          </w:p>
        </w:tc>
        <w:tc>
          <w:tcPr>
            <w:tcW w:w="2010" w:type="dxa"/>
            <w:vAlign w:val="center"/>
          </w:tcPr>
          <w:p w:rsidR="00557ED2" w:rsidRDefault="00B86B97">
            <w:pPr>
              <w:autoSpaceDN w:val="0"/>
              <w:jc w:val="center"/>
              <w:textAlignment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color w:val="000000"/>
                <w:sz w:val="15"/>
                <w:szCs w:val="15"/>
              </w:rPr>
              <w:t>9.05</w:t>
            </w:r>
          </w:p>
        </w:tc>
      </w:tr>
    </w:tbl>
    <w:p w:rsidR="00557ED2" w:rsidRDefault="00557ED2">
      <w:pPr>
        <w:ind w:firstLineChars="200" w:firstLine="420"/>
        <w:jc w:val="left"/>
      </w:pPr>
    </w:p>
    <w:p w:rsidR="00557ED2" w:rsidRDefault="00B86B97">
      <w:pPr>
        <w:ind w:firstLineChars="200" w:firstLine="420"/>
        <w:jc w:val="left"/>
        <w:rPr>
          <w:rFonts w:ascii="宋体" w:cs="宋体"/>
        </w:rPr>
      </w:pPr>
      <w:r>
        <w:rPr>
          <w:rFonts w:ascii="宋体" w:cs="宋体" w:hint="eastAsia"/>
        </w:rPr>
        <w:t>根据上表3，讨论并分析如下：</w:t>
      </w:r>
    </w:p>
    <w:p w:rsidR="00557ED2" w:rsidRDefault="00B86B97">
      <w:pPr>
        <w:spacing w:line="300" w:lineRule="auto"/>
        <w:rPr>
          <w:rFonts w:ascii="宋体" w:cs="宋体"/>
          <w:szCs w:val="21"/>
        </w:rPr>
      </w:pPr>
      <w:r>
        <w:rPr>
          <w:rFonts w:ascii="宋体" w:cs="宋体" w:hint="eastAsia"/>
          <w:szCs w:val="21"/>
        </w:rPr>
        <w:t xml:space="preserve">    1）从上表3可见，</w:t>
      </w:r>
      <w:r>
        <w:rPr>
          <w:rFonts w:ascii="宋体" w:cs="宋体" w:hint="eastAsia"/>
        </w:rPr>
        <w:t>一支电极（</w:t>
      </w:r>
      <w:r>
        <w:rPr>
          <w:rFonts w:ascii="宋体" w:cs="宋体" w:hint="eastAsia"/>
          <w:szCs w:val="21"/>
        </w:rPr>
        <w:t>pH</w:t>
      </w:r>
      <w:r>
        <w:rPr>
          <w:rFonts w:ascii="宋体" w:cs="宋体" w:hint="eastAsia"/>
        </w:rPr>
        <w:t>复合电极）</w:t>
      </w:r>
      <w:r>
        <w:rPr>
          <w:rFonts w:ascii="宋体" w:cs="宋体" w:hint="eastAsia"/>
          <w:szCs w:val="21"/>
        </w:rPr>
        <w:t>和</w:t>
      </w:r>
      <w:r>
        <w:rPr>
          <w:rFonts w:ascii="宋体" w:cs="宋体" w:hint="eastAsia"/>
        </w:rPr>
        <w:t>两支电极（参比电极+玻璃电极）测定的</w:t>
      </w:r>
      <w:r>
        <w:rPr>
          <w:rFonts w:ascii="宋体" w:cs="宋体" w:hint="eastAsia"/>
          <w:szCs w:val="21"/>
        </w:rPr>
        <w:t>pH值，相差不大。可验证：pH</w:t>
      </w:r>
      <w:r>
        <w:rPr>
          <w:rFonts w:ascii="宋体" w:cs="宋体" w:hint="eastAsia"/>
        </w:rPr>
        <w:t>复合电极相当于参比电极和玻璃电极，实验装置都构成了原电池装置；</w:t>
      </w:r>
    </w:p>
    <w:p w:rsidR="00557ED2" w:rsidRDefault="00B86B97">
      <w:pPr>
        <w:spacing w:line="300" w:lineRule="auto"/>
        <w:rPr>
          <w:rFonts w:ascii="宋体" w:cs="宋体"/>
          <w:szCs w:val="21"/>
        </w:rPr>
      </w:pPr>
      <w:r>
        <w:rPr>
          <w:rFonts w:ascii="宋体" w:cs="宋体" w:hint="eastAsia"/>
          <w:szCs w:val="21"/>
        </w:rPr>
        <w:t xml:space="preserve">    2）通过实验深刻理解：pH复合电极是由Ag/AgCl电极和玻璃电极组合而成，仪器商家为方便使用，将参比电极和玻璃电极合二为一，其中玻璃电极相当于指示电极，Ag/AgCl电极相当于参比电极。</w:t>
      </w:r>
    </w:p>
    <w:p w:rsidR="00557ED2" w:rsidRDefault="00B86B97">
      <w:pPr>
        <w:spacing w:line="300" w:lineRule="auto"/>
        <w:ind w:firstLine="420"/>
        <w:jc w:val="left"/>
        <w:rPr>
          <w:rFonts w:ascii="宋体" w:cs="宋体"/>
          <w:szCs w:val="21"/>
        </w:rPr>
      </w:pPr>
      <w:r>
        <w:rPr>
          <w:rFonts w:ascii="宋体" w:cs="宋体" w:hint="eastAsia"/>
          <w:szCs w:val="21"/>
        </w:rPr>
        <w:t>3）</w:t>
      </w:r>
      <w:r>
        <w:rPr>
          <w:rFonts w:ascii="宋体" w:cs="宋体" w:hint="eastAsia"/>
          <w:color w:val="000000"/>
          <w:kern w:val="0"/>
          <w:szCs w:val="21"/>
        </w:rPr>
        <w:t>根据电位分析原理和离子选择性电极响应机理，分析</w:t>
      </w:r>
      <w:r>
        <w:rPr>
          <w:rFonts w:ascii="宋体" w:cs="宋体" w:hint="eastAsia"/>
          <w:szCs w:val="21"/>
        </w:rPr>
        <w:t>pH测定结果误差来源：</w:t>
      </w:r>
    </w:p>
    <w:p w:rsidR="00557ED2" w:rsidRDefault="00B86B97">
      <w:pPr>
        <w:spacing w:line="300" w:lineRule="auto"/>
        <w:ind w:firstLine="420"/>
        <w:jc w:val="left"/>
        <w:rPr>
          <w:rFonts w:ascii="宋体" w:cs="宋体"/>
          <w:szCs w:val="21"/>
        </w:rPr>
      </w:pPr>
      <w:r>
        <w:rPr>
          <w:rFonts w:ascii="宋体" w:cs="宋体" w:hint="eastAsia"/>
          <w:szCs w:val="21"/>
        </w:rPr>
        <w:t>a、根据能斯待方程，可推出Ex＝Kx+0.059pHx 和 Es=Ks+0.059pHs，在两式中，当</w:t>
      </w:r>
      <w:r>
        <w:rPr>
          <w:rFonts w:ascii="宋体" w:cs="宋体" w:hint="eastAsia"/>
          <w:i/>
          <w:iCs/>
          <w:szCs w:val="21"/>
        </w:rPr>
        <w:t>Kx=Ks</w:t>
      </w:r>
      <w:r>
        <w:rPr>
          <w:rFonts w:ascii="宋体" w:cs="宋体" w:hint="eastAsia"/>
          <w:szCs w:val="21"/>
        </w:rPr>
        <w:t>时，可得待测样品pHx = pHs+(Ex－Es)/0.059。然而，要使Kx=Ks，则须满足测量条件：测</w:t>
      </w:r>
      <w:r>
        <w:rPr>
          <w:rFonts w:ascii="宋体" w:cs="宋体" w:hint="eastAsia"/>
          <w:szCs w:val="21"/>
        </w:rPr>
        <w:lastRenderedPageBreak/>
        <w:t>量过程温度恒定；标准缓冲液pHs与待测样品pHx相近。</w:t>
      </w:r>
    </w:p>
    <w:p w:rsidR="00557ED2" w:rsidRDefault="00B86B97">
      <w:pPr>
        <w:spacing w:line="300" w:lineRule="auto"/>
        <w:ind w:firstLine="420"/>
        <w:jc w:val="left"/>
        <w:rPr>
          <w:rFonts w:ascii="宋体" w:cs="宋体"/>
          <w:szCs w:val="21"/>
        </w:rPr>
      </w:pPr>
      <w:r>
        <w:rPr>
          <w:rFonts w:ascii="宋体" w:cs="宋体" w:hint="eastAsia"/>
          <w:szCs w:val="21"/>
        </w:rPr>
        <w:t>b、根据玻璃电极中膜电位的产生机理，膜电位是因玻璃膜与膜内外溶液之间的扩散、迁移、渗透等交换作用，为减少测量误差，测量时须注意：溶液的搅拌速度一致，最好静置时读数；盛放标准溶液和待测样品的器皿及其液位要一致。</w:t>
      </w:r>
    </w:p>
    <w:p w:rsidR="00557ED2" w:rsidRDefault="00B86B97">
      <w:pPr>
        <w:spacing w:line="300" w:lineRule="auto"/>
        <w:ind w:firstLine="420"/>
        <w:jc w:val="left"/>
        <w:rPr>
          <w:rFonts w:ascii="宋体" w:cs="宋体"/>
          <w:szCs w:val="21"/>
        </w:rPr>
      </w:pPr>
      <w:r>
        <w:rPr>
          <w:rFonts w:ascii="宋体" w:cs="宋体" w:hint="eastAsia"/>
          <w:szCs w:val="21"/>
        </w:rPr>
        <w:t>可见，要减少测定结果的误差：需要恒定测量温度、选择与待测液</w:t>
      </w:r>
      <w:r>
        <w:rPr>
          <w:rFonts w:ascii="宋体" w:cs="宋体" w:hint="eastAsia"/>
          <w:i/>
          <w:iCs/>
          <w:szCs w:val="21"/>
        </w:rPr>
        <w:t>pHx</w:t>
      </w:r>
      <w:r>
        <w:rPr>
          <w:rFonts w:ascii="宋体" w:cs="宋体" w:hint="eastAsia"/>
          <w:szCs w:val="21"/>
        </w:rPr>
        <w:t>相近的标准缓冲液、恒定溶液的搅拌速度、标准液和待测液的容器大小和液位要一致。</w:t>
      </w:r>
    </w:p>
    <w:p w:rsidR="00557ED2" w:rsidRDefault="00557ED2">
      <w:pPr>
        <w:spacing w:line="300" w:lineRule="auto"/>
        <w:ind w:firstLine="420"/>
        <w:jc w:val="left"/>
        <w:rPr>
          <w:rFonts w:ascii="宋体" w:cs="宋体"/>
          <w:szCs w:val="21"/>
        </w:rPr>
      </w:pPr>
    </w:p>
    <w:p w:rsidR="00557ED2" w:rsidRDefault="00B86B97">
      <w:pPr>
        <w:spacing w:line="300" w:lineRule="auto"/>
        <w:rPr>
          <w:rFonts w:ascii="宋体"/>
          <w:sz w:val="24"/>
        </w:rPr>
      </w:pPr>
      <w:r>
        <w:rPr>
          <w:rFonts w:ascii="黑体" w:eastAsia="黑体" w:hint="eastAsia"/>
          <w:b/>
          <w:sz w:val="24"/>
        </w:rPr>
        <w:t>3 教学总结与反思</w:t>
      </w:r>
    </w:p>
    <w:p w:rsidR="00557ED2" w:rsidRDefault="00B86B97">
      <w:pPr>
        <w:spacing w:line="300" w:lineRule="auto"/>
        <w:ind w:firstLine="420"/>
        <w:rPr>
          <w:rFonts w:ascii="宋体" w:cs="宋体"/>
          <w:szCs w:val="21"/>
        </w:rPr>
      </w:pPr>
      <w:r>
        <w:rPr>
          <w:rFonts w:ascii="宋体" w:cs="宋体" w:hint="eastAsia"/>
          <w:szCs w:val="21"/>
        </w:rPr>
        <w:t>基于“实验牵引理论”的教学模式，在pH测定实验中增加2个任务，帮助学生在熟练掌握实验操作技能的基础上，更深刻理解直接电位法测定pH的定量原理、实验装置，从而为学生解决了心中的困惑。通过实验牵引理论，使理论升华，更好地指导实验，进而分析讨论并理解了单标准法和双标准法的准确性不同、影响pH测定结果的误差来源，并能在实际测定工作中，做到心中有数，有的放矢。</w:t>
      </w:r>
    </w:p>
    <w:p w:rsidR="00557ED2" w:rsidRDefault="00B86B97">
      <w:pPr>
        <w:spacing w:line="300" w:lineRule="auto"/>
        <w:ind w:firstLine="420"/>
        <w:rPr>
          <w:rFonts w:ascii="宋体" w:cs="宋体"/>
          <w:b/>
          <w:szCs w:val="21"/>
        </w:rPr>
      </w:pPr>
      <w:r>
        <w:rPr>
          <w:rFonts w:ascii="宋体" w:cs="宋体" w:hint="eastAsia"/>
          <w:szCs w:val="21"/>
        </w:rPr>
        <w:t>同时，反思如下：本次实验由于时间限制，没有对实验误差来源进行验证分析，没有对电极响应性能做斜率测试验算实验，还可进一步理论结合实验，展开学习探讨。</w:t>
      </w:r>
    </w:p>
    <w:p w:rsidR="00557ED2" w:rsidRDefault="00557ED2">
      <w:pPr>
        <w:jc w:val="center"/>
        <w:rPr>
          <w:rFonts w:ascii="宋体" w:cs="宋体"/>
          <w:bCs/>
          <w:szCs w:val="21"/>
        </w:rPr>
      </w:pPr>
    </w:p>
    <w:p w:rsidR="00557ED2" w:rsidRDefault="00557ED2">
      <w:pPr>
        <w:jc w:val="center"/>
        <w:rPr>
          <w:rFonts w:ascii="黑体" w:eastAsia="黑体" w:cs="黑体"/>
          <w:bCs/>
          <w:sz w:val="18"/>
          <w:szCs w:val="18"/>
        </w:rPr>
      </w:pPr>
    </w:p>
    <w:p w:rsidR="00557ED2" w:rsidRDefault="00557ED2">
      <w:pPr>
        <w:jc w:val="center"/>
        <w:rPr>
          <w:rFonts w:ascii="黑体" w:eastAsia="黑体" w:cs="黑体"/>
          <w:bCs/>
          <w:sz w:val="18"/>
          <w:szCs w:val="18"/>
        </w:rPr>
      </w:pPr>
    </w:p>
    <w:p w:rsidR="00557ED2" w:rsidRDefault="00557ED2">
      <w:pPr>
        <w:jc w:val="center"/>
        <w:rPr>
          <w:rFonts w:ascii="黑体" w:eastAsia="黑体" w:cs="黑体"/>
          <w:bCs/>
          <w:sz w:val="18"/>
          <w:szCs w:val="18"/>
        </w:rPr>
      </w:pPr>
    </w:p>
    <w:p w:rsidR="00557ED2" w:rsidRDefault="00B86B97">
      <w:pPr>
        <w:jc w:val="center"/>
        <w:rPr>
          <w:rFonts w:ascii="黑体" w:eastAsia="黑体" w:cs="黑体"/>
          <w:bCs/>
          <w:sz w:val="18"/>
          <w:szCs w:val="18"/>
        </w:rPr>
      </w:pPr>
      <w:r>
        <w:rPr>
          <w:rFonts w:ascii="黑体" w:eastAsia="黑体" w:cs="黑体" w:hint="eastAsia"/>
          <w:bCs/>
          <w:sz w:val="18"/>
          <w:szCs w:val="18"/>
        </w:rPr>
        <w:t>参考文献</w:t>
      </w:r>
    </w:p>
    <w:p w:rsidR="00557ED2" w:rsidRDefault="00B86B97">
      <w:pPr>
        <w:autoSpaceDE w:val="0"/>
        <w:autoSpaceDN w:val="0"/>
        <w:rPr>
          <w:rFonts w:ascii="宋体" w:cs="宋体"/>
          <w:color w:val="000000"/>
          <w:sz w:val="15"/>
          <w:szCs w:val="15"/>
        </w:rPr>
      </w:pPr>
      <w:r>
        <w:rPr>
          <w:rFonts w:ascii="宋体" w:cs="宋体" w:hint="eastAsia"/>
          <w:sz w:val="15"/>
          <w:szCs w:val="15"/>
        </w:rPr>
        <w:t xml:space="preserve">[1]高职高专化学教材编写组. 分析化学. 3版, </w:t>
      </w:r>
      <w:r>
        <w:rPr>
          <w:rFonts w:ascii="宋体" w:cs="宋体" w:hint="eastAsia"/>
          <w:color w:val="000000"/>
          <w:sz w:val="15"/>
          <w:szCs w:val="15"/>
        </w:rPr>
        <w:t>北京: 高等教育出版社, 2008: 35-68</w:t>
      </w:r>
    </w:p>
    <w:p w:rsidR="00557ED2" w:rsidRDefault="00B86B97">
      <w:pPr>
        <w:autoSpaceDE w:val="0"/>
        <w:autoSpaceDN w:val="0"/>
        <w:rPr>
          <w:rFonts w:ascii="宋体" w:cs="宋体"/>
          <w:color w:val="000000"/>
          <w:sz w:val="15"/>
          <w:szCs w:val="15"/>
        </w:rPr>
      </w:pPr>
      <w:r>
        <w:rPr>
          <w:rFonts w:ascii="宋体" w:cs="宋体" w:hint="eastAsia"/>
          <w:sz w:val="15"/>
          <w:szCs w:val="15"/>
        </w:rPr>
        <w:t>[2]魏培海</w:t>
      </w:r>
      <w:r>
        <w:rPr>
          <w:rFonts w:ascii="宋体" w:cs="宋体" w:hint="eastAsia"/>
          <w:color w:val="000000"/>
          <w:sz w:val="15"/>
          <w:szCs w:val="15"/>
        </w:rPr>
        <w:t xml:space="preserve">, </w:t>
      </w:r>
      <w:r>
        <w:rPr>
          <w:rFonts w:ascii="宋体" w:cs="宋体" w:hint="eastAsia"/>
          <w:sz w:val="15"/>
          <w:szCs w:val="15"/>
        </w:rPr>
        <w:t xml:space="preserve">曹国庆. 仪器分析. </w:t>
      </w:r>
      <w:r>
        <w:rPr>
          <w:rFonts w:ascii="宋体" w:cs="宋体" w:hint="eastAsia"/>
          <w:color w:val="000000"/>
          <w:sz w:val="15"/>
          <w:szCs w:val="15"/>
        </w:rPr>
        <w:t>1版，北京: 高等教育出版社, 2007: 91-110</w:t>
      </w:r>
    </w:p>
    <w:p w:rsidR="00557ED2" w:rsidRDefault="00B86B97">
      <w:pPr>
        <w:rPr>
          <w:rFonts w:ascii="宋体" w:cs="宋体"/>
          <w:sz w:val="15"/>
          <w:szCs w:val="15"/>
        </w:rPr>
      </w:pPr>
      <w:r>
        <w:rPr>
          <w:rFonts w:ascii="宋体" w:cs="宋体" w:hint="eastAsia"/>
          <w:sz w:val="15"/>
          <w:szCs w:val="15"/>
        </w:rPr>
        <w:t>[3]刘玉海</w:t>
      </w:r>
      <w:r>
        <w:rPr>
          <w:rFonts w:ascii="宋体" w:cs="宋体" w:hint="eastAsia"/>
          <w:color w:val="000000"/>
          <w:sz w:val="15"/>
          <w:szCs w:val="15"/>
        </w:rPr>
        <w:t xml:space="preserve">, </w:t>
      </w:r>
      <w:r>
        <w:rPr>
          <w:rFonts w:ascii="宋体" w:cs="宋体" w:hint="eastAsia"/>
          <w:sz w:val="15"/>
          <w:szCs w:val="15"/>
        </w:rPr>
        <w:t>杨润苗. 电化学分析仪器使用与维护. 北京：化学工业出版社，2011：14-100</w:t>
      </w:r>
    </w:p>
    <w:p w:rsidR="00557ED2" w:rsidRDefault="00B86B97">
      <w:pPr>
        <w:rPr>
          <w:rFonts w:ascii="宋体" w:cs="宋体"/>
          <w:sz w:val="15"/>
          <w:szCs w:val="15"/>
        </w:rPr>
      </w:pPr>
      <w:r>
        <w:rPr>
          <w:rFonts w:ascii="宋体" w:cs="宋体" w:hint="eastAsia"/>
          <w:sz w:val="15"/>
          <w:szCs w:val="15"/>
        </w:rPr>
        <w:t>[4]胡聪</w:t>
      </w:r>
      <w:r>
        <w:rPr>
          <w:rFonts w:ascii="宋体" w:cs="宋体" w:hint="eastAsia"/>
          <w:color w:val="000000"/>
          <w:sz w:val="15"/>
          <w:szCs w:val="15"/>
        </w:rPr>
        <w:t xml:space="preserve">, </w:t>
      </w:r>
      <w:r>
        <w:rPr>
          <w:rFonts w:ascii="宋体" w:cs="宋体" w:hint="eastAsia"/>
          <w:sz w:val="15"/>
          <w:szCs w:val="15"/>
        </w:rPr>
        <w:t>张书锋等. 比较模式在天然药物化学实验教学中的应用. 卫生职业教育, 010, 21（28）：0093</w:t>
      </w:r>
    </w:p>
    <w:p w:rsidR="00557ED2" w:rsidRDefault="00B86B97">
      <w:pPr>
        <w:rPr>
          <w:rFonts w:ascii="宋体" w:cs="宋体"/>
          <w:sz w:val="15"/>
          <w:szCs w:val="15"/>
        </w:rPr>
      </w:pPr>
      <w:r>
        <w:rPr>
          <w:rFonts w:ascii="宋体" w:cs="宋体" w:hint="eastAsia"/>
          <w:sz w:val="15"/>
          <w:szCs w:val="15"/>
        </w:rPr>
        <w:t>[5]李庭斌. 教育教学论坛，2014，10：0250-0251</w:t>
      </w:r>
    </w:p>
    <w:p w:rsidR="00557ED2" w:rsidRDefault="00557ED2">
      <w:pPr>
        <w:jc w:val="left"/>
        <w:rPr>
          <w:rFonts w:ascii="宋体"/>
        </w:rPr>
      </w:pPr>
    </w:p>
    <w:p w:rsidR="00557ED2" w:rsidRDefault="00557ED2">
      <w:pPr>
        <w:jc w:val="left"/>
        <w:rPr>
          <w:rFonts w:ascii="宋体"/>
        </w:rPr>
      </w:pPr>
    </w:p>
    <w:p w:rsidR="00557ED2" w:rsidRDefault="00557ED2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557ED2" w:rsidRDefault="00557ED2">
      <w:pPr>
        <w:pStyle w:val="1"/>
        <w:keepNext w:val="0"/>
        <w:keepLines w:val="0"/>
        <w:spacing w:afterLines="0" w:line="240" w:lineRule="auto"/>
        <w:jc w:val="both"/>
        <w:rPr>
          <w:sz w:val="21"/>
          <w:szCs w:val="21"/>
        </w:rPr>
      </w:pPr>
    </w:p>
    <w:sectPr w:rsidR="00557ED2" w:rsidSect="00557ED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261" w:rsidRDefault="00606261" w:rsidP="00557ED2">
      <w:r>
        <w:separator/>
      </w:r>
    </w:p>
  </w:endnote>
  <w:endnote w:type="continuationSeparator" w:id="0">
    <w:p w:rsidR="00606261" w:rsidRDefault="00606261" w:rsidP="00557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微软雅黑"/>
    <w:charset w:val="86"/>
    <w:family w:val="modern"/>
    <w:pitch w:val="variable"/>
    <w:sig w:usb0="00000000" w:usb1="080E0000" w:usb2="00000000" w:usb3="00000000" w:csb0="00040000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auto"/>
    <w:pitch w:val="variable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261" w:rsidRDefault="00606261">
      <w:r>
        <w:separator/>
      </w:r>
    </w:p>
  </w:footnote>
  <w:footnote w:type="continuationSeparator" w:id="0">
    <w:p w:rsidR="00606261" w:rsidRDefault="006062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6223C"/>
    <w:multiLevelType w:val="singleLevel"/>
    <w:tmpl w:val="56F6223C"/>
    <w:lvl w:ilvl="0">
      <w:start w:val="1"/>
      <w:numFmt w:val="decimal"/>
      <w:lvlRestart w:val="0"/>
      <w:suff w:val="nothing"/>
      <w:lvlText w:val="%1）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ExpandShiftReturn/>
    <w:adjustLineHeightInTable/>
    <w:growAutofit/>
    <w:useFELayout/>
    <w:useAltKinsokuLineBreakRules/>
    <w:splitPgBreakAndParaMark/>
  </w:compat>
  <w:rsids>
    <w:rsidRoot w:val="00557ED2"/>
    <w:rsid w:val="0012386C"/>
    <w:rsid w:val="00131A74"/>
    <w:rsid w:val="001E21D7"/>
    <w:rsid w:val="002F532E"/>
    <w:rsid w:val="00557ED2"/>
    <w:rsid w:val="00606261"/>
    <w:rsid w:val="00A06161"/>
    <w:rsid w:val="00B86B97"/>
    <w:rsid w:val="00D5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7ED2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rsid w:val="00557ED2"/>
    <w:pPr>
      <w:keepNext/>
      <w:keepLines/>
      <w:spacing w:afterLines="50" w:line="360" w:lineRule="auto"/>
      <w:jc w:val="left"/>
      <w:outlineLvl w:val="0"/>
    </w:pPr>
    <w:rPr>
      <w:rFonts w:eastAsia="楷体_GB2312"/>
      <w:b/>
      <w:bCs/>
      <w:kern w:val="44"/>
      <w:sz w:val="28"/>
      <w:szCs w:val="44"/>
    </w:rPr>
  </w:style>
  <w:style w:type="paragraph" w:styleId="3">
    <w:name w:val="heading 3"/>
    <w:basedOn w:val="a"/>
    <w:next w:val="a"/>
    <w:rsid w:val="00557ED2"/>
    <w:pPr>
      <w:keepNext/>
      <w:keepLines/>
      <w:spacing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rsid w:val="00557ED2"/>
    <w:pPr>
      <w:snapToGrid w:val="0"/>
    </w:pPr>
    <w:rPr>
      <w:rFonts w:ascii="Calibri" w:hAnsi="Calibri" w:cs="Arial"/>
      <w:sz w:val="18"/>
      <w:szCs w:val="18"/>
    </w:rPr>
  </w:style>
  <w:style w:type="character" w:styleId="a4">
    <w:name w:val="footnote reference"/>
    <w:basedOn w:val="a0"/>
    <w:rsid w:val="00557ED2"/>
    <w:rPr>
      <w:vertAlign w:val="superscript"/>
    </w:rPr>
  </w:style>
  <w:style w:type="paragraph" w:customStyle="1" w:styleId="Style3">
    <w:name w:val="_Style 3"/>
    <w:basedOn w:val="a"/>
    <w:rsid w:val="00557ED2"/>
    <w:pPr>
      <w:ind w:firstLineChars="200" w:firstLine="200"/>
    </w:pPr>
  </w:style>
  <w:style w:type="paragraph" w:customStyle="1" w:styleId="Style4">
    <w:name w:val="_Style 4"/>
    <w:basedOn w:val="a"/>
    <w:rsid w:val="00557ED2"/>
    <w:pPr>
      <w:ind w:firstLineChars="200" w:firstLine="200"/>
    </w:pPr>
  </w:style>
  <w:style w:type="paragraph" w:styleId="a5">
    <w:name w:val="Date"/>
    <w:basedOn w:val="a"/>
    <w:next w:val="a"/>
    <w:link w:val="Char"/>
    <w:uiPriority w:val="99"/>
    <w:semiHidden/>
    <w:unhideWhenUsed/>
    <w:rsid w:val="002F532E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2F532E"/>
    <w:rPr>
      <w:rFonts w:ascii="Calibri" w:hAnsi="Calibri" w:cs="Arial"/>
      <w:kern w:val="2"/>
      <w:sz w:val="21"/>
      <w:szCs w:val="22"/>
    </w:rPr>
  </w:style>
  <w:style w:type="character" w:styleId="a6">
    <w:name w:val="Hyperlink"/>
    <w:basedOn w:val="a0"/>
    <w:uiPriority w:val="99"/>
    <w:unhideWhenUsed/>
    <w:rsid w:val="002F532E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semiHidden/>
    <w:unhideWhenUsed/>
    <w:rsid w:val="00131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131A74"/>
    <w:rPr>
      <w:rFonts w:ascii="Calibri" w:hAnsi="Calibri" w:cs="Arial"/>
      <w:kern w:val="2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131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131A74"/>
    <w:rPr>
      <w:rFonts w:ascii="Calibri" w:hAnsi="Calibri" w:cs="Arial"/>
      <w:kern w:val="2"/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131A74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131A74"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</dc:creator>
  <cp:lastModifiedBy>xbany</cp:lastModifiedBy>
  <cp:revision>2</cp:revision>
  <dcterms:created xsi:type="dcterms:W3CDTF">2017-10-18T03:24:00Z</dcterms:created>
  <dcterms:modified xsi:type="dcterms:W3CDTF">2017-10-18T03:24:00Z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