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A4C" w:rsidRDefault="00F208CA">
      <w:pPr>
        <w:jc w:val="center"/>
        <w:rPr>
          <w:rFonts w:ascii="黑体" w:eastAsia="黑体" w:hAnsi="黑体" w:cs="宋体"/>
          <w:b/>
          <w:sz w:val="30"/>
          <w:szCs w:val="30"/>
        </w:rPr>
      </w:pPr>
      <w:r>
        <w:rPr>
          <w:rFonts w:ascii="黑体" w:eastAsia="黑体" w:hAnsi="黑体" w:cs="宋体" w:hint="eastAsia"/>
          <w:sz w:val="30"/>
          <w:szCs w:val="30"/>
        </w:rPr>
        <w:t>社会性别视角下高校女教师发展的障碍性因素探析</w:t>
      </w:r>
      <w:r>
        <w:rPr>
          <w:rFonts w:ascii="黑体" w:eastAsia="黑体" w:hAnsi="黑体" w:cs="宋体"/>
          <w:b/>
          <w:sz w:val="30"/>
          <w:szCs w:val="30"/>
        </w:rPr>
        <w:footnoteReference w:id="1"/>
      </w:r>
    </w:p>
    <w:p w:rsidR="001C3A4C" w:rsidRDefault="00F208CA">
      <w:pPr>
        <w:widowControl/>
        <w:jc w:val="center"/>
        <w:rPr>
          <w:rFonts w:ascii="楷体" w:eastAsia="楷体" w:hAnsi="楷体" w:cs="宋体"/>
          <w:sz w:val="24"/>
          <w:szCs w:val="24"/>
        </w:rPr>
      </w:pPr>
      <w:r>
        <w:rPr>
          <w:rFonts w:ascii="楷体" w:eastAsia="楷体" w:hAnsi="楷体" w:cs="宋体" w:hint="eastAsia"/>
          <w:sz w:val="24"/>
          <w:szCs w:val="24"/>
        </w:rPr>
        <w:t>上官春晓</w:t>
      </w:r>
    </w:p>
    <w:p w:rsidR="001C3A4C" w:rsidRDefault="00F208CA">
      <w:pPr>
        <w:spacing w:line="360" w:lineRule="auto"/>
        <w:jc w:val="center"/>
        <w:rPr>
          <w:rFonts w:ascii="楷体" w:eastAsia="楷体" w:hAnsi="楷体"/>
          <w:sz w:val="24"/>
          <w:szCs w:val="24"/>
        </w:rPr>
      </w:pPr>
      <w:r>
        <w:rPr>
          <w:rFonts w:ascii="楷体" w:eastAsia="楷体" w:hAnsi="楷体" w:hint="eastAsia"/>
          <w:sz w:val="24"/>
          <w:szCs w:val="24"/>
        </w:rPr>
        <w:t>（暨南大学</w:t>
      </w:r>
      <w:r>
        <w:rPr>
          <w:rFonts w:ascii="楷体" w:eastAsia="楷体" w:hAnsi="楷体" w:hint="eastAsia"/>
          <w:sz w:val="24"/>
          <w:szCs w:val="24"/>
        </w:rPr>
        <w:t xml:space="preserve"> </w:t>
      </w:r>
      <w:r>
        <w:rPr>
          <w:rFonts w:ascii="楷体" w:eastAsia="楷体" w:hAnsi="楷体" w:hint="eastAsia"/>
          <w:sz w:val="24"/>
          <w:szCs w:val="24"/>
        </w:rPr>
        <w:t>马克思主义学院，广东</w:t>
      </w:r>
      <w:r>
        <w:rPr>
          <w:rFonts w:ascii="楷体" w:eastAsia="楷体" w:hAnsi="楷体" w:hint="eastAsia"/>
          <w:sz w:val="24"/>
          <w:szCs w:val="24"/>
        </w:rPr>
        <w:t xml:space="preserve"> </w:t>
      </w:r>
      <w:r>
        <w:rPr>
          <w:rFonts w:ascii="楷体" w:eastAsia="楷体" w:hAnsi="楷体" w:hint="eastAsia"/>
          <w:sz w:val="24"/>
          <w:szCs w:val="24"/>
        </w:rPr>
        <w:t>广州</w:t>
      </w:r>
      <w:r>
        <w:rPr>
          <w:rFonts w:ascii="楷体" w:eastAsia="楷体" w:hAnsi="楷体" w:hint="eastAsia"/>
          <w:sz w:val="24"/>
          <w:szCs w:val="24"/>
        </w:rPr>
        <w:t xml:space="preserve"> 510632</w:t>
      </w:r>
      <w:r>
        <w:rPr>
          <w:rFonts w:ascii="楷体" w:eastAsia="楷体" w:hAnsi="楷体" w:hint="eastAsia"/>
          <w:sz w:val="24"/>
          <w:szCs w:val="24"/>
        </w:rPr>
        <w:t>）</w:t>
      </w:r>
    </w:p>
    <w:p w:rsidR="001C3A4C" w:rsidRDefault="00F208CA">
      <w:pPr>
        <w:spacing w:line="200" w:lineRule="atLeast"/>
        <w:ind w:firstLine="420"/>
        <w:rPr>
          <w:rFonts w:ascii="楷体" w:eastAsia="楷体" w:hAnsi="楷体"/>
          <w:szCs w:val="21"/>
        </w:rPr>
      </w:pPr>
      <w:r>
        <w:rPr>
          <w:rFonts w:ascii="楷体" w:eastAsia="楷体" w:hAnsi="楷体" w:cs="宋体" w:hint="eastAsia"/>
          <w:szCs w:val="21"/>
        </w:rPr>
        <w:t>摘要：</w:t>
      </w:r>
      <w:r>
        <w:rPr>
          <w:rFonts w:ascii="楷体" w:eastAsia="楷体" w:hAnsi="楷体" w:hint="eastAsia"/>
          <w:szCs w:val="21"/>
        </w:rPr>
        <w:t>作为我国受教育程度较高的女性群体之一，高校女教师本该有着更广阔的发展空间、机遇，但事实上，其自身发展受到诸种限制，在职场、家庭中相对弱势、并日益边缘化。有鉴于此，笔者以社会性别视角切入，认为传统性别观与现代女性意识间的张力、工作与家庭的兼顾乏力、主体发展意识薄弱以及男权评价体系下女性的弱势是其主要诱因。通过</w:t>
      </w:r>
      <w:r>
        <w:rPr>
          <w:rFonts w:ascii="楷体" w:eastAsia="楷体" w:hAnsi="楷体" w:hint="eastAsia"/>
          <w:szCs w:val="21"/>
        </w:rPr>
        <w:t>汲取马克思主义妇女观和西方女权主义理论中的合理成分，营造两性平等的社会环境、凸显女性优势、培育女性能力，以突破当前高校女教师发展的重重障碍。</w:t>
      </w:r>
    </w:p>
    <w:p w:rsidR="001C3A4C" w:rsidRDefault="00F208CA">
      <w:pPr>
        <w:spacing w:line="200" w:lineRule="atLeast"/>
        <w:ind w:firstLine="420"/>
        <w:rPr>
          <w:rFonts w:ascii="楷体" w:eastAsia="楷体" w:hAnsi="楷体"/>
          <w:szCs w:val="21"/>
        </w:rPr>
      </w:pPr>
      <w:r>
        <w:rPr>
          <w:rFonts w:ascii="楷体" w:eastAsia="楷体" w:hAnsi="楷体" w:cs="宋体" w:hint="eastAsia"/>
          <w:szCs w:val="21"/>
        </w:rPr>
        <w:t>关键词：</w:t>
      </w:r>
      <w:r>
        <w:rPr>
          <w:rFonts w:ascii="楷体" w:eastAsia="楷体" w:hAnsi="楷体" w:hint="eastAsia"/>
          <w:szCs w:val="21"/>
        </w:rPr>
        <w:t>社会性别；高校女教师；发展；障碍性因素</w:t>
      </w:r>
    </w:p>
    <w:p w:rsidR="001C3A4C" w:rsidRDefault="001C3A4C">
      <w:pPr>
        <w:spacing w:line="200" w:lineRule="atLeast"/>
        <w:ind w:firstLine="420"/>
        <w:rPr>
          <w:rFonts w:ascii="楷体" w:eastAsia="楷体" w:hAnsi="楷体"/>
          <w:szCs w:val="21"/>
        </w:rPr>
      </w:pPr>
    </w:p>
    <w:p w:rsidR="001C3A4C" w:rsidRDefault="00F208CA">
      <w:pPr>
        <w:rPr>
          <w:rFonts w:cs="宋体"/>
          <w:b/>
          <w:sz w:val="32"/>
          <w:szCs w:val="28"/>
        </w:rPr>
      </w:pPr>
      <w:r>
        <w:rPr>
          <w:rFonts w:cs="宋体" w:hint="eastAsia"/>
          <w:b/>
          <w:sz w:val="28"/>
          <w:szCs w:val="28"/>
        </w:rPr>
        <w:t xml:space="preserve">    </w:t>
      </w:r>
      <w:r>
        <w:rPr>
          <w:rFonts w:cs="宋体" w:hint="eastAsia"/>
          <w:b/>
          <w:sz w:val="28"/>
          <w:szCs w:val="28"/>
        </w:rPr>
        <w:t>一、问题的提出</w:t>
      </w:r>
    </w:p>
    <w:p w:rsidR="001C3A4C" w:rsidRDefault="00F208CA">
      <w:pPr>
        <w:spacing w:line="200" w:lineRule="atLeast"/>
        <w:ind w:firstLine="420"/>
        <w:rPr>
          <w:szCs w:val="21"/>
        </w:rPr>
      </w:pPr>
      <w:r>
        <w:rPr>
          <w:szCs w:val="21"/>
        </w:rPr>
        <w:t>高校女教师是我国女性中政治、经济和社会地位较高，有着较大影响力的群体。近些年，随着我国高等教育的发展，高校教师队伍中女性比例稳步增长，已成为高等教育事业中一股不可忽视的力量。据相关资料显示：我国普通高校专职教师中女教师占</w:t>
      </w:r>
      <w:r>
        <w:rPr>
          <w:szCs w:val="21"/>
        </w:rPr>
        <w:t>47.0%</w:t>
      </w:r>
      <w:r>
        <w:rPr>
          <w:szCs w:val="21"/>
        </w:rPr>
        <w:t>，男女教师总人数比为</w:t>
      </w:r>
      <w:r>
        <w:rPr>
          <w:szCs w:val="21"/>
        </w:rPr>
        <w:t>1.12∶1</w:t>
      </w:r>
      <w:r>
        <w:rPr>
          <w:szCs w:val="21"/>
        </w:rPr>
        <w:t>；正高级职称中女教师占</w:t>
      </w:r>
      <w:r>
        <w:rPr>
          <w:szCs w:val="21"/>
        </w:rPr>
        <w:t>29.4%</w:t>
      </w:r>
      <w:r>
        <w:rPr>
          <w:szCs w:val="21"/>
        </w:rPr>
        <w:t>，</w:t>
      </w:r>
      <w:r>
        <w:rPr>
          <w:szCs w:val="21"/>
        </w:rPr>
        <w:t>男女教授比为</w:t>
      </w:r>
      <w:r>
        <w:rPr>
          <w:szCs w:val="21"/>
        </w:rPr>
        <w:t>2.4∶1</w:t>
      </w:r>
      <w:r>
        <w:rPr>
          <w:szCs w:val="21"/>
        </w:rPr>
        <w:t>；副高级职称中女教师占</w:t>
      </w:r>
      <w:r>
        <w:rPr>
          <w:szCs w:val="21"/>
        </w:rPr>
        <w:t>44.0%</w:t>
      </w:r>
      <w:r>
        <w:rPr>
          <w:szCs w:val="21"/>
        </w:rPr>
        <w:t>，男女副教授比为</w:t>
      </w:r>
      <w:r>
        <w:rPr>
          <w:szCs w:val="21"/>
        </w:rPr>
        <w:t>1.25∶1</w:t>
      </w:r>
      <w:r>
        <w:rPr>
          <w:szCs w:val="21"/>
        </w:rPr>
        <w:t>；科研机构人员中女教师占</w:t>
      </w:r>
      <w:r>
        <w:rPr>
          <w:szCs w:val="21"/>
        </w:rPr>
        <w:t>37.8%</w:t>
      </w:r>
      <w:r>
        <w:rPr>
          <w:szCs w:val="21"/>
        </w:rPr>
        <w:t>，男女教师比为</w:t>
      </w:r>
      <w:r>
        <w:rPr>
          <w:szCs w:val="21"/>
        </w:rPr>
        <w:t>1.65</w:t>
      </w:r>
      <w:r>
        <w:rPr>
          <w:szCs w:val="21"/>
        </w:rPr>
        <w:t>：</w:t>
      </w:r>
      <w:r>
        <w:rPr>
          <w:szCs w:val="21"/>
        </w:rPr>
        <w:t>1</w:t>
      </w:r>
      <w:r>
        <w:rPr>
          <w:szCs w:val="21"/>
        </w:rPr>
        <w:t>；中级、初级职称中女教师占</w:t>
      </w:r>
      <w:r>
        <w:rPr>
          <w:szCs w:val="21"/>
        </w:rPr>
        <w:t>53.9%</w:t>
      </w:r>
      <w:r>
        <w:rPr>
          <w:szCs w:val="21"/>
        </w:rPr>
        <w:t>。</w:t>
      </w:r>
      <w:r>
        <w:rPr>
          <w:szCs w:val="21"/>
          <w:vertAlign w:val="superscript"/>
        </w:rPr>
        <w:t>[1]</w:t>
      </w:r>
      <w:r>
        <w:rPr>
          <w:szCs w:val="21"/>
        </w:rPr>
        <w:t>总体来看，高校女教师的学科分布非常广泛，从人文社科到理工医药，她们的专业技能打破了传统思维中的女性</w:t>
      </w:r>
      <w:r>
        <w:rPr>
          <w:rFonts w:cs="B3+CAJSymbolA" w:hint="eastAsia"/>
          <w:szCs w:val="21"/>
        </w:rPr>
        <w:t>“</w:t>
      </w:r>
      <w:r>
        <w:rPr>
          <w:rFonts w:cs="宋体" w:hint="eastAsia"/>
          <w:szCs w:val="21"/>
        </w:rPr>
        <w:t>学习兴趣常倾向于文科</w:t>
      </w:r>
      <w:r>
        <w:rPr>
          <w:rFonts w:cs="B3+CAJSymbolA" w:hint="eastAsia"/>
          <w:szCs w:val="21"/>
        </w:rPr>
        <w:t>”的偏见</w:t>
      </w:r>
      <w:r>
        <w:rPr>
          <w:szCs w:val="21"/>
        </w:rPr>
        <w:t>。从科研成果和学术成就上看，近年来，女教师在各自的研究领域里所取得的成就颇为丰硕，她们用自身的辛勤付出在传统的男性阵地里占据了一席之地。但另一方面，在高校中，无论是在高职称的学术地位和技术职务中，</w:t>
      </w:r>
      <w:r>
        <w:rPr>
          <w:szCs w:val="21"/>
        </w:rPr>
        <w:t>抑或是在职能管理类的领导岗位上，男性教师都具有绝对的优势，在高校师资队伍中明显处于高层和</w:t>
      </w:r>
      <w:r>
        <w:rPr>
          <w:szCs w:val="21"/>
        </w:rPr>
        <w:t>“</w:t>
      </w:r>
      <w:r>
        <w:rPr>
          <w:szCs w:val="21"/>
        </w:rPr>
        <w:t>中心</w:t>
      </w:r>
      <w:r>
        <w:rPr>
          <w:szCs w:val="21"/>
        </w:rPr>
        <w:t>”</w:t>
      </w:r>
      <w:r>
        <w:rPr>
          <w:szCs w:val="21"/>
        </w:rPr>
        <w:t>，而女性教师只在中、初级的职称领域稍稍超过男性，处于底层和</w:t>
      </w:r>
      <w:r>
        <w:rPr>
          <w:szCs w:val="21"/>
        </w:rPr>
        <w:t>“</w:t>
      </w:r>
      <w:r>
        <w:rPr>
          <w:szCs w:val="21"/>
        </w:rPr>
        <w:t>外围</w:t>
      </w:r>
      <w:r>
        <w:rPr>
          <w:szCs w:val="21"/>
        </w:rPr>
        <w:t>”</w:t>
      </w:r>
      <w:r>
        <w:rPr>
          <w:szCs w:val="21"/>
        </w:rPr>
        <w:t>。显然，尽管当前高校女教师数量和比例都稳中有增，但事实上高校女教师的职业发展总体上不及男性。现代教育基于对女性思想解放，社会文明开化的考虑，认为随着女性受教育程度的不断提高，两性之间的社会地位会越来越平等，然而事实并非如此，两性的发展差距不见缩小反而日益拉大。寻根究源，到底是什么因素限制了高校女教师群体的职业发展，导致其与男性群体的差距越来越大？是</w:t>
      </w:r>
      <w:r>
        <w:rPr>
          <w:szCs w:val="21"/>
        </w:rPr>
        <w:t>女性教师先天资质禀赋不及男性，还是她们在后天学习、工作中缺乏韧性和毅力，抑或是社会资源男女分配不均，社会性别定位有所偏倚，使得女教师在工作过程中及晋升路上遭遇重重阻碍？寻求客观就要竭力做到全面，对问题的理性思考要求我们既要在当事者身上找原因，也不能忽视外在的组织文化结构的影响。</w:t>
      </w:r>
    </w:p>
    <w:p w:rsidR="001C3A4C" w:rsidRDefault="00F208CA">
      <w:pPr>
        <w:spacing w:line="200" w:lineRule="atLeast"/>
        <w:rPr>
          <w:rFonts w:cs="宋体"/>
          <w:b/>
          <w:sz w:val="28"/>
          <w:szCs w:val="28"/>
        </w:rPr>
      </w:pPr>
      <w:r>
        <w:rPr>
          <w:rFonts w:cs="宋体" w:hint="eastAsia"/>
          <w:b/>
          <w:sz w:val="28"/>
          <w:szCs w:val="28"/>
        </w:rPr>
        <w:t xml:space="preserve">    </w:t>
      </w:r>
      <w:r>
        <w:rPr>
          <w:rFonts w:cs="宋体" w:hint="eastAsia"/>
          <w:b/>
          <w:sz w:val="28"/>
          <w:szCs w:val="28"/>
        </w:rPr>
        <w:t>二、社会性别概念及其现实关照</w:t>
      </w:r>
    </w:p>
    <w:p w:rsidR="001C3A4C" w:rsidRDefault="00F208CA">
      <w:pPr>
        <w:spacing w:line="200" w:lineRule="atLeast"/>
        <w:ind w:firstLine="420"/>
        <w:rPr>
          <w:szCs w:val="21"/>
        </w:rPr>
      </w:pPr>
      <w:r>
        <w:rPr>
          <w:szCs w:val="21"/>
        </w:rPr>
        <w:t>社会性别这一概念作为</w:t>
      </w:r>
      <w:r>
        <w:rPr>
          <w:szCs w:val="21"/>
        </w:rPr>
        <w:t>“</w:t>
      </w:r>
      <w:r>
        <w:rPr>
          <w:szCs w:val="21"/>
        </w:rPr>
        <w:t>舶来品</w:t>
      </w:r>
      <w:r>
        <w:rPr>
          <w:szCs w:val="21"/>
        </w:rPr>
        <w:t>”</w:t>
      </w:r>
      <w:r>
        <w:rPr>
          <w:szCs w:val="21"/>
        </w:rPr>
        <w:t>，源于西方女性主义理论，是相较于生理性别而言的，它强调后天的社会环境对人的影响。首先，男女两性在社会中各自的角色扮演、责任义务、社会期望都不尽相同。其次，特定的社会</w:t>
      </w:r>
      <w:r>
        <w:rPr>
          <w:szCs w:val="21"/>
        </w:rPr>
        <w:t>文化环境客观上也会造就男女各自符合其性别身份的性格特征、气质精神及行为方式。女性主义希望通过社会性别这一视角，找到女性在历史、社会、文化等各种因素的影响下一直处于从属地位的根源，进而推进男女平等，使男女双方在维持自身性别特质的基础上实现和谐统一。</w:t>
      </w:r>
    </w:p>
    <w:p w:rsidR="001C3A4C" w:rsidRDefault="00F208CA">
      <w:pPr>
        <w:spacing w:line="200" w:lineRule="atLeast"/>
        <w:ind w:firstLine="420"/>
        <w:rPr>
          <w:szCs w:val="21"/>
        </w:rPr>
      </w:pPr>
      <w:r>
        <w:rPr>
          <w:szCs w:val="21"/>
        </w:rPr>
        <w:t>社会性别作为一种社会理论，根源于特定的社会现实，是历史、社会、文化的产物，具有变动性和流动性，在不同的历史时期会呈现出不同的特征和表现方式。但毋庸置疑的是，无论在哪一个历史阶段，关注社会性别，都是关注人本身：一方面，只有在个人明晰自我社会定位后，才能更好完成社会角</w:t>
      </w:r>
      <w:r>
        <w:rPr>
          <w:szCs w:val="21"/>
        </w:rPr>
        <w:t>色的任务；另一方面，在面对社会公正失衡时，也</w:t>
      </w:r>
      <w:r>
        <w:rPr>
          <w:szCs w:val="21"/>
        </w:rPr>
        <w:lastRenderedPageBreak/>
        <w:t>能够找到问题症结所在，对症下药，促进社会有机体健康有序运转。理论只有与具体实践相结合才能发挥出理论应有的价值和意义。社会性别概念自</w:t>
      </w:r>
      <w:r>
        <w:rPr>
          <w:szCs w:val="21"/>
        </w:rPr>
        <w:t>20</w:t>
      </w:r>
      <w:r>
        <w:rPr>
          <w:szCs w:val="21"/>
        </w:rPr>
        <w:t>世纪</w:t>
      </w:r>
      <w:r>
        <w:rPr>
          <w:szCs w:val="21"/>
        </w:rPr>
        <w:t>90</w:t>
      </w:r>
      <w:r>
        <w:rPr>
          <w:szCs w:val="21"/>
        </w:rPr>
        <w:t>年代被引入中国以来，也经历了一个</w:t>
      </w:r>
      <w:r>
        <w:rPr>
          <w:szCs w:val="21"/>
        </w:rPr>
        <w:t>“</w:t>
      </w:r>
      <w:r>
        <w:rPr>
          <w:szCs w:val="21"/>
        </w:rPr>
        <w:t>中国化</w:t>
      </w:r>
      <w:r>
        <w:rPr>
          <w:szCs w:val="21"/>
        </w:rPr>
        <w:t>”</w:t>
      </w:r>
      <w:r>
        <w:rPr>
          <w:szCs w:val="21"/>
        </w:rPr>
        <w:t>的过程。在中国要实现社会性别这一概念的科学化，一定要与马克思主义妇女理论相结合。马克思主义妇女观内含着对妇女主体性和自为性的真切呼唤，对私有制所造成的男女地位不平等的批判，对无产阶级道路的不懈追求以及对妇女参加社会劳动的殷切期盼。</w:t>
      </w:r>
      <w:r>
        <w:rPr>
          <w:szCs w:val="21"/>
          <w:vertAlign w:val="superscript"/>
        </w:rPr>
        <w:t>[2](P13-15)</w:t>
      </w:r>
      <w:r>
        <w:rPr>
          <w:szCs w:val="21"/>
        </w:rPr>
        <w:t>而这些都为我们在寻求打破高校女性</w:t>
      </w:r>
      <w:r>
        <w:rPr>
          <w:szCs w:val="21"/>
        </w:rPr>
        <w:t>发展壁垒的</w:t>
      </w:r>
      <w:r>
        <w:rPr>
          <w:szCs w:val="21"/>
        </w:rPr>
        <w:t>“</w:t>
      </w:r>
      <w:r>
        <w:rPr>
          <w:szCs w:val="21"/>
        </w:rPr>
        <w:t>武器</w:t>
      </w:r>
      <w:r>
        <w:rPr>
          <w:szCs w:val="21"/>
        </w:rPr>
        <w:t>”</w:t>
      </w:r>
      <w:r>
        <w:rPr>
          <w:szCs w:val="21"/>
        </w:rPr>
        <w:t>时提供了路径支持。</w:t>
      </w:r>
    </w:p>
    <w:p w:rsidR="001C3A4C" w:rsidRDefault="00F208CA">
      <w:pPr>
        <w:rPr>
          <w:rFonts w:cs="宋体"/>
          <w:b/>
          <w:sz w:val="28"/>
          <w:szCs w:val="28"/>
        </w:rPr>
      </w:pPr>
      <w:r>
        <w:rPr>
          <w:rFonts w:cs="宋体" w:hint="eastAsia"/>
          <w:b/>
          <w:sz w:val="28"/>
          <w:szCs w:val="28"/>
        </w:rPr>
        <w:t xml:space="preserve">  </w:t>
      </w:r>
      <w:r>
        <w:rPr>
          <w:rFonts w:cs="宋体" w:hint="eastAsia"/>
          <w:b/>
          <w:sz w:val="24"/>
          <w:szCs w:val="24"/>
        </w:rPr>
        <w:t xml:space="preserve">  </w:t>
      </w:r>
      <w:r>
        <w:rPr>
          <w:rFonts w:cs="宋体" w:hint="eastAsia"/>
          <w:b/>
          <w:sz w:val="28"/>
          <w:szCs w:val="28"/>
        </w:rPr>
        <w:t>三、社会性别理论下的困境归因</w:t>
      </w:r>
    </w:p>
    <w:p w:rsidR="001C3A4C" w:rsidRDefault="00F208CA">
      <w:pPr>
        <w:spacing w:line="200" w:lineRule="atLeast"/>
        <w:rPr>
          <w:b/>
          <w:sz w:val="24"/>
          <w:szCs w:val="24"/>
        </w:rPr>
      </w:pPr>
      <w:r>
        <w:rPr>
          <w:b/>
          <w:sz w:val="24"/>
          <w:szCs w:val="24"/>
        </w:rPr>
        <w:t xml:space="preserve">    </w:t>
      </w:r>
      <w:r>
        <w:rPr>
          <w:b/>
          <w:sz w:val="24"/>
          <w:szCs w:val="24"/>
        </w:rPr>
        <w:t>（一）传统性别观念与现代女性意识的激烈碰撞</w:t>
      </w:r>
    </w:p>
    <w:p w:rsidR="001C3A4C" w:rsidRDefault="00F208CA">
      <w:pPr>
        <w:spacing w:line="200" w:lineRule="atLeast"/>
        <w:ind w:firstLine="420"/>
        <w:rPr>
          <w:szCs w:val="21"/>
        </w:rPr>
      </w:pPr>
      <w:r>
        <w:rPr>
          <w:szCs w:val="21"/>
        </w:rPr>
        <w:t>中国传统文化认为，阳成男，阴成女；乾为阳，坤为阴；阳尊阴卑，阳刚阴柔</w:t>
      </w:r>
      <w:r>
        <w:rPr>
          <w:szCs w:val="21"/>
        </w:rPr>
        <w:t>……</w:t>
      </w:r>
      <w:r>
        <w:rPr>
          <w:szCs w:val="21"/>
        </w:rPr>
        <w:t>基于天地阴阳的宇宙观，女性从一出生就被冠以生理学意义上的柔弱性格与服从本性，其社会地位、社会角色是由性的差别来决定的。儒学礼教在封建社会的长期发展中形成了特定的性别等级观念，如功能上的</w:t>
      </w:r>
      <w:r>
        <w:rPr>
          <w:szCs w:val="21"/>
        </w:rPr>
        <w:t>“</w:t>
      </w:r>
      <w:r>
        <w:rPr>
          <w:szCs w:val="21"/>
        </w:rPr>
        <w:t>男外女内</w:t>
      </w:r>
      <w:r>
        <w:rPr>
          <w:szCs w:val="21"/>
        </w:rPr>
        <w:t>”</w:t>
      </w:r>
      <w:r>
        <w:rPr>
          <w:szCs w:val="21"/>
        </w:rPr>
        <w:t>，地位上的</w:t>
      </w:r>
      <w:r>
        <w:rPr>
          <w:szCs w:val="21"/>
        </w:rPr>
        <w:t>“</w:t>
      </w:r>
      <w:r>
        <w:rPr>
          <w:szCs w:val="21"/>
        </w:rPr>
        <w:t>男主女从</w:t>
      </w:r>
      <w:r>
        <w:rPr>
          <w:szCs w:val="21"/>
        </w:rPr>
        <w:t>”</w:t>
      </w:r>
      <w:r>
        <w:rPr>
          <w:szCs w:val="21"/>
        </w:rPr>
        <w:t>，价值上的</w:t>
      </w:r>
      <w:r>
        <w:rPr>
          <w:szCs w:val="21"/>
        </w:rPr>
        <w:t>“</w:t>
      </w:r>
      <w:r>
        <w:rPr>
          <w:szCs w:val="21"/>
        </w:rPr>
        <w:t>男强女弱</w:t>
      </w:r>
      <w:r>
        <w:rPr>
          <w:szCs w:val="21"/>
        </w:rPr>
        <w:t>”</w:t>
      </w:r>
      <w:r>
        <w:rPr>
          <w:szCs w:val="21"/>
        </w:rPr>
        <w:t>等。</w:t>
      </w:r>
      <w:r>
        <w:rPr>
          <w:szCs w:val="21"/>
          <w:vertAlign w:val="superscript"/>
        </w:rPr>
        <w:t>[3](P22)</w:t>
      </w:r>
      <w:r>
        <w:rPr>
          <w:szCs w:val="21"/>
        </w:rPr>
        <w:t>在封建时代的中国，人们对一个有修养的女子的社会角色期</w:t>
      </w:r>
      <w:r>
        <w:rPr>
          <w:szCs w:val="21"/>
        </w:rPr>
        <w:t>许就是</w:t>
      </w:r>
      <w:r>
        <w:rPr>
          <w:szCs w:val="21"/>
        </w:rPr>
        <w:t>“</w:t>
      </w:r>
      <w:r>
        <w:rPr>
          <w:szCs w:val="21"/>
        </w:rPr>
        <w:t>孝女</w:t>
      </w:r>
      <w:r>
        <w:rPr>
          <w:szCs w:val="21"/>
        </w:rPr>
        <w:t>”</w:t>
      </w:r>
      <w:r>
        <w:rPr>
          <w:szCs w:val="21"/>
        </w:rPr>
        <w:t>、</w:t>
      </w:r>
      <w:r>
        <w:rPr>
          <w:szCs w:val="21"/>
        </w:rPr>
        <w:t>“</w:t>
      </w:r>
      <w:r>
        <w:rPr>
          <w:szCs w:val="21"/>
        </w:rPr>
        <w:t>贤妻</w:t>
      </w:r>
      <w:r>
        <w:rPr>
          <w:szCs w:val="21"/>
        </w:rPr>
        <w:t>”</w:t>
      </w:r>
      <w:r>
        <w:rPr>
          <w:szCs w:val="21"/>
        </w:rPr>
        <w:t>和</w:t>
      </w:r>
      <w:r>
        <w:rPr>
          <w:szCs w:val="21"/>
        </w:rPr>
        <w:t>“</w:t>
      </w:r>
      <w:r>
        <w:rPr>
          <w:szCs w:val="21"/>
        </w:rPr>
        <w:t>良母</w:t>
      </w:r>
      <w:r>
        <w:rPr>
          <w:szCs w:val="21"/>
        </w:rPr>
        <w:t>”</w:t>
      </w:r>
      <w:r>
        <w:rPr>
          <w:szCs w:val="21"/>
        </w:rPr>
        <w:t>，她们不参与社会交往与社会实践，其活动范围囿于家庭，足不出户。正是这些传统思想，使得人们习惯于将女性与家庭私人领地的生养活动联系起来，而将男性与社会公共领域内的各类生产活动联系起来。也正是这些文化现象，印证了马克思关于女性受压迫是是阶级压迫的一种特殊形式的论断。反抗源于压迫，正如波伏娃所言：</w:t>
      </w:r>
      <w:r>
        <w:rPr>
          <w:szCs w:val="21"/>
        </w:rPr>
        <w:t>“</w:t>
      </w:r>
      <w:r>
        <w:rPr>
          <w:szCs w:val="21"/>
        </w:rPr>
        <w:t>男人决不会想到要写一本书，去论述男人的特殊处境</w:t>
      </w:r>
      <w:r>
        <w:rPr>
          <w:szCs w:val="21"/>
        </w:rPr>
        <w:t>”</w:t>
      </w:r>
      <w:r>
        <w:rPr>
          <w:szCs w:val="21"/>
        </w:rPr>
        <w:t>。</w:t>
      </w:r>
      <w:r>
        <w:rPr>
          <w:szCs w:val="21"/>
          <w:vertAlign w:val="superscript"/>
        </w:rPr>
        <w:t>[4](P10)</w:t>
      </w:r>
      <w:r>
        <w:rPr>
          <w:szCs w:val="21"/>
        </w:rPr>
        <w:t>女性解放运动以来的一百多年里，女权主义者呼唤男女平等，在她们看来，女性在社会上所扮演的角色，并不是由女性先天的生理因素</w:t>
      </w:r>
      <w:r>
        <w:rPr>
          <w:szCs w:val="21"/>
        </w:rPr>
        <w:t>所决定的，而是社会文化发展的一种规制。现代社会，女性受教育程度的提高使得她们思想的蒙昧与愚钝一步步被剔除，她们寻求自我权利的平等和价值的实现，渴望和男性一样成为真正的</w:t>
      </w:r>
      <w:r>
        <w:rPr>
          <w:szCs w:val="21"/>
        </w:rPr>
        <w:t>“</w:t>
      </w:r>
      <w:r>
        <w:rPr>
          <w:szCs w:val="21"/>
        </w:rPr>
        <w:t>人</w:t>
      </w:r>
      <w:r>
        <w:rPr>
          <w:szCs w:val="21"/>
        </w:rPr>
        <w:t>”</w:t>
      </w:r>
      <w:r>
        <w:rPr>
          <w:szCs w:val="21"/>
        </w:rPr>
        <w:t>，这就与几千年来业已形成的中国传统的性别观念完全相悖。高校女教师作为高级知识分子，一方面，她们阅历多，眼界高，视野广，更多地接触到新事物、新思想，更容易受到女权主义思想的浸染、进而唤起女性意识的觉醒。另一方面，她们熟知传统男权社会压制女性的典章规制，也深谙其对女性的荼毒与不公，相较于文化、学历水平较低的传统女性，她们的平权意识更容易萌发，</w:t>
      </w:r>
      <w:r>
        <w:rPr>
          <w:szCs w:val="21"/>
        </w:rPr>
        <w:t>反抗意识更强烈，而她们的学识、素养和社会地位也为她们的呼号斗争提供了可能。传统的相对面是现代，在传统文化观念基本融进社会血脉的中国，现代女性意识的觉醒将要面临传统观念的长期抵制和纠缠，高校女教师一方面受到了更好的教育、观念更为开放、思维更为灵活，更确信两性的平权是现代性的价值之一，但传统文化之根深蒂固又使得他们难以远离传统和世俗的眼光，依然要保守传统女性的谦卑、服从的性格特质，这是制约当前高校女教师发展的深层因素。</w:t>
      </w:r>
    </w:p>
    <w:p w:rsidR="001C3A4C" w:rsidRDefault="00F208CA">
      <w:pPr>
        <w:spacing w:line="200" w:lineRule="atLeast"/>
        <w:rPr>
          <w:b/>
          <w:sz w:val="24"/>
          <w:szCs w:val="24"/>
        </w:rPr>
      </w:pPr>
      <w:r>
        <w:rPr>
          <w:b/>
          <w:sz w:val="24"/>
          <w:szCs w:val="24"/>
        </w:rPr>
        <w:t xml:space="preserve">    </w:t>
      </w:r>
      <w:r>
        <w:rPr>
          <w:b/>
          <w:sz w:val="24"/>
          <w:szCs w:val="24"/>
        </w:rPr>
        <w:t>（二）工作与家庭二者的兼顾乏力</w:t>
      </w:r>
    </w:p>
    <w:p w:rsidR="001C3A4C" w:rsidRDefault="00F208CA">
      <w:pPr>
        <w:spacing w:line="200" w:lineRule="atLeast"/>
        <w:rPr>
          <w:szCs w:val="21"/>
        </w:rPr>
      </w:pPr>
      <w:r>
        <w:rPr>
          <w:sz w:val="24"/>
          <w:szCs w:val="24"/>
        </w:rPr>
        <w:t xml:space="preserve">   </w:t>
      </w:r>
      <w:r>
        <w:rPr>
          <w:szCs w:val="21"/>
        </w:rPr>
        <w:t xml:space="preserve"> </w:t>
      </w:r>
      <w:r>
        <w:rPr>
          <w:szCs w:val="21"/>
        </w:rPr>
        <w:t>对于现代高校女教师而言，工作成就和家庭的关系</w:t>
      </w:r>
      <w:r>
        <w:rPr>
          <w:szCs w:val="21"/>
        </w:rPr>
        <w:t>，成了检验她们是否是成功女性的一个关键标志。如上所言，长期以来，社会刻板印象、传统性别观念和家庭分工，要求女性以家庭为主，那些只追求事业而无暇顾及家庭的女性是无法被接受和承认的。而现代社会中高校女教师的价值取向具有双重性，除却家庭事务的</w:t>
      </w:r>
      <w:r>
        <w:rPr>
          <w:szCs w:val="21"/>
        </w:rPr>
        <w:t>“</w:t>
      </w:r>
      <w:r>
        <w:rPr>
          <w:szCs w:val="21"/>
        </w:rPr>
        <w:t>本分</w:t>
      </w:r>
      <w:r>
        <w:rPr>
          <w:szCs w:val="21"/>
        </w:rPr>
        <w:t>”</w:t>
      </w:r>
      <w:r>
        <w:rPr>
          <w:szCs w:val="21"/>
        </w:rPr>
        <w:t>和</w:t>
      </w:r>
      <w:r>
        <w:rPr>
          <w:szCs w:val="21"/>
        </w:rPr>
        <w:t>“</w:t>
      </w:r>
      <w:r>
        <w:rPr>
          <w:szCs w:val="21"/>
        </w:rPr>
        <w:t>天职</w:t>
      </w:r>
      <w:r>
        <w:rPr>
          <w:szCs w:val="21"/>
        </w:rPr>
        <w:t>”</w:t>
      </w:r>
      <w:r>
        <w:rPr>
          <w:szCs w:val="21"/>
        </w:rPr>
        <w:t>，她们更愿意将自己置身于社会大环境中扮演一定的社会角色，除了家庭生活的私密空间，还有广阔的事业领地。这一转变并非易事，她们面临着来自家庭和社会的重重压力。</w:t>
      </w:r>
    </w:p>
    <w:p w:rsidR="001C3A4C" w:rsidRDefault="00F208CA">
      <w:pPr>
        <w:spacing w:line="200" w:lineRule="atLeast"/>
        <w:rPr>
          <w:szCs w:val="21"/>
        </w:rPr>
      </w:pPr>
      <w:r>
        <w:rPr>
          <w:szCs w:val="21"/>
        </w:rPr>
        <w:t xml:space="preserve">    1.</w:t>
      </w:r>
      <w:r>
        <w:rPr>
          <w:szCs w:val="21"/>
        </w:rPr>
        <w:t>社会的双重角色期许与评价</w:t>
      </w:r>
    </w:p>
    <w:p w:rsidR="001C3A4C" w:rsidRDefault="00F208CA">
      <w:pPr>
        <w:spacing w:line="200" w:lineRule="atLeast"/>
        <w:rPr>
          <w:szCs w:val="21"/>
        </w:rPr>
      </w:pPr>
      <w:r>
        <w:rPr>
          <w:szCs w:val="21"/>
        </w:rPr>
        <w:t xml:space="preserve">    </w:t>
      </w:r>
      <w:r>
        <w:rPr>
          <w:szCs w:val="21"/>
        </w:rPr>
        <w:t>社会允许女性</w:t>
      </w:r>
      <w:r>
        <w:rPr>
          <w:szCs w:val="21"/>
        </w:rPr>
        <w:t>“</w:t>
      </w:r>
      <w:r>
        <w:rPr>
          <w:szCs w:val="21"/>
        </w:rPr>
        <w:t>走出去</w:t>
      </w:r>
      <w:r>
        <w:rPr>
          <w:szCs w:val="21"/>
        </w:rPr>
        <w:t>”</w:t>
      </w:r>
      <w:r>
        <w:rPr>
          <w:szCs w:val="21"/>
        </w:rPr>
        <w:t>是以她们先完成女性</w:t>
      </w:r>
      <w:r>
        <w:rPr>
          <w:szCs w:val="21"/>
        </w:rPr>
        <w:t>“</w:t>
      </w:r>
      <w:r>
        <w:rPr>
          <w:szCs w:val="21"/>
        </w:rPr>
        <w:t>本职工作</w:t>
      </w:r>
      <w:r>
        <w:rPr>
          <w:szCs w:val="21"/>
        </w:rPr>
        <w:t>”</w:t>
      </w:r>
      <w:r>
        <w:rPr>
          <w:szCs w:val="21"/>
        </w:rPr>
        <w:t>为前</w:t>
      </w:r>
      <w:r>
        <w:rPr>
          <w:szCs w:val="21"/>
        </w:rPr>
        <w:t>提的，很多时候，女性作为一个真正的人的地位和她自身的女性身份所拥有的使命之间存在着深刻的矛盾。高校女教师在事业有所成就之时，必须首先完成自己在家庭中的事务，即作为一个妻子、母亲、儿媳的社会角色所应尽的义务，这也就是说，她们要想实现自我价值，获得和男性同样的机会与权利，必须一个肩膀负起料理家庭琐事之责，另一个肩膀挑起事业成功之担。如果重家庭轻事业，就会混同于传统女性，违背了高校女教师追求自我价值实现的理想；如果重事业轻家庭，则与传统对女性的角色定位不相容，人生价值一样会被否定。高校女教师在高校改革的浪潮中面临</w:t>
      </w:r>
      <w:r>
        <w:rPr>
          <w:szCs w:val="21"/>
        </w:rPr>
        <w:t>着残酷的竞争压力，而她们的工作性质又异于其他职业女性，除却正常的学校教学、科研任务外，她们还需要用大量的业余时间更新自我知识结构，写文章和专著，探究新式教学方法等，她们的工作可以说不是严格意义上的八小时工作制而是无</w:t>
      </w:r>
      <w:r>
        <w:rPr>
          <w:szCs w:val="21"/>
        </w:rPr>
        <w:lastRenderedPageBreak/>
        <w:t>定时的全天候工作制。现代社会对成功女性的定义就是实现家庭与事业兼顾，达到二者的平衡与和谐，这就要求她们既不能丢弃传统女性勤俭持家，温良贤淑的美好品德，又要在职场生活中崭露头角，具备竞争性和创造性，而这些需要女性超负荷付出才有可能做到。现实中更多的高校女教师处于这样一个进退维谷的关口，二者兼顾乏力，</w:t>
      </w:r>
      <w:r>
        <w:rPr>
          <w:szCs w:val="21"/>
        </w:rPr>
        <w:t>在实际角色和期望角色的冲突之间殚精竭虑，渴望社会肯定却也为实现这种肯定付出了远高于男性的辛劳。</w:t>
      </w:r>
    </w:p>
    <w:p w:rsidR="001C3A4C" w:rsidRDefault="00F208CA">
      <w:pPr>
        <w:spacing w:line="200" w:lineRule="atLeast"/>
        <w:rPr>
          <w:szCs w:val="21"/>
        </w:rPr>
      </w:pPr>
      <w:r>
        <w:rPr>
          <w:szCs w:val="21"/>
        </w:rPr>
        <w:t xml:space="preserve">    2.</w:t>
      </w:r>
      <w:r>
        <w:rPr>
          <w:szCs w:val="21"/>
        </w:rPr>
        <w:t>家务承担、生育问题的矛盾</w:t>
      </w:r>
    </w:p>
    <w:p w:rsidR="001C3A4C" w:rsidRDefault="00F208CA">
      <w:pPr>
        <w:spacing w:line="200" w:lineRule="atLeast"/>
        <w:jc w:val="left"/>
        <w:rPr>
          <w:szCs w:val="21"/>
        </w:rPr>
      </w:pPr>
      <w:r>
        <w:rPr>
          <w:szCs w:val="21"/>
        </w:rPr>
        <w:t xml:space="preserve">    </w:t>
      </w:r>
      <w:r>
        <w:rPr>
          <w:szCs w:val="21"/>
        </w:rPr>
        <w:t>恩格斯说：</w:t>
      </w:r>
      <w:r>
        <w:rPr>
          <w:szCs w:val="21"/>
        </w:rPr>
        <w:t>“</w:t>
      </w:r>
      <w:r>
        <w:rPr>
          <w:szCs w:val="21"/>
        </w:rPr>
        <w:t>妇女的解放，只有在妇女可以大量地、社会规模地参加生产，而家务劳动只占她们极少的功夫的时候，才有可能。</w:t>
      </w:r>
      <w:r>
        <w:rPr>
          <w:szCs w:val="21"/>
        </w:rPr>
        <w:t>”</w:t>
      </w:r>
      <w:r>
        <w:rPr>
          <w:szCs w:val="21"/>
          <w:vertAlign w:val="superscript"/>
        </w:rPr>
        <w:t>[5](P152)</w:t>
      </w:r>
      <w:r>
        <w:rPr>
          <w:szCs w:val="21"/>
        </w:rPr>
        <w:t>而现实社会，家务劳动社会化程度却很低，多数高校女教师依然恪守着传统性别分工的规范，是家务劳动的主力。有研究表明，高校知识女性一般承担着家庭</w:t>
      </w:r>
      <w:r>
        <w:rPr>
          <w:szCs w:val="21"/>
        </w:rPr>
        <w:t>80</w:t>
      </w:r>
      <w:r>
        <w:rPr>
          <w:szCs w:val="21"/>
        </w:rPr>
        <w:t>％的家务劳动，但劳动成果却被排除在经济学家的价值计算之外。</w:t>
      </w:r>
      <w:r>
        <w:rPr>
          <w:szCs w:val="21"/>
          <w:vertAlign w:val="superscript"/>
        </w:rPr>
        <w:t>[6](P112)</w:t>
      </w:r>
      <w:r>
        <w:rPr>
          <w:szCs w:val="21"/>
        </w:rPr>
        <w:t>家务劳动不被纳入社会总劳动的范畴，意味着家务劳动就没有一个科学的社会评价体系，其劳动成果无法被量化，价值也无法被估算，这样女性在家庭事务中的劳动就成了一种集体无意识的、惯性的、</w:t>
      </w:r>
      <w:r>
        <w:rPr>
          <w:szCs w:val="21"/>
        </w:rPr>
        <w:t>“</w:t>
      </w:r>
      <w:r>
        <w:rPr>
          <w:szCs w:val="21"/>
        </w:rPr>
        <w:t>理所应当</w:t>
      </w:r>
      <w:r>
        <w:rPr>
          <w:szCs w:val="21"/>
        </w:rPr>
        <w:t>”</w:t>
      </w:r>
      <w:r>
        <w:rPr>
          <w:szCs w:val="21"/>
        </w:rPr>
        <w:t>的付出。传统的社会补偿理论认为，工作和家庭的关系是负相关的，当个人在家庭中的参与程度较高时，则在工作中的参与程度就低。人的精力和时间有限，高校女教师常常要面临选择困境，当自我发展与家庭发展起冲突的时候，就不得不放弃自我利益。此外，高校女教师作为高学历人群，她们工作前的求学时间较长，而待她们走上工作岗位之时，生理年龄已逼迫她</w:t>
      </w:r>
      <w:r>
        <w:rPr>
          <w:szCs w:val="21"/>
        </w:rPr>
        <w:t>们要考虑生养下一代，成才的黄金期与生育、哺乳期的同时到来使她们面临着两难的选择。只要生育仍是一种现象，妇女就注定要成为社会剥削的对象。</w:t>
      </w:r>
      <w:r>
        <w:rPr>
          <w:szCs w:val="21"/>
          <w:vertAlign w:val="superscript"/>
        </w:rPr>
        <w:t>[7](P13)</w:t>
      </w:r>
      <w:r>
        <w:rPr>
          <w:szCs w:val="21"/>
        </w:rPr>
        <w:t>从生育到哺乳结束的这段时间内，高校女教师的工作和自我发展基本处于停顿状态，学习被中断，时间被占用，精力被消耗，不仅会造成她们知识上的断裂与滞后，与男教师的差距拉大，更有甚者，在女教师休产假期间，常会错失职称评定与职务晋升的机会。生育本是女性自然选择的结果，此刻却成了发展路上的</w:t>
      </w:r>
      <w:r>
        <w:rPr>
          <w:szCs w:val="21"/>
        </w:rPr>
        <w:t>“</w:t>
      </w:r>
      <w:r>
        <w:rPr>
          <w:szCs w:val="21"/>
        </w:rPr>
        <w:t>绊脚石</w:t>
      </w:r>
      <w:r>
        <w:rPr>
          <w:szCs w:val="21"/>
        </w:rPr>
        <w:t>”</w:t>
      </w:r>
      <w:r>
        <w:rPr>
          <w:szCs w:val="21"/>
        </w:rPr>
        <w:t>，女性的生育价值非但没得到足够尊重，甚至还成了很多用人单位避之唯恐不及的一大</w:t>
      </w:r>
      <w:r>
        <w:rPr>
          <w:szCs w:val="21"/>
        </w:rPr>
        <w:t>劣势。</w:t>
      </w:r>
    </w:p>
    <w:p w:rsidR="001C3A4C" w:rsidRDefault="00F208CA">
      <w:pPr>
        <w:spacing w:line="200" w:lineRule="atLeast"/>
        <w:rPr>
          <w:b/>
          <w:sz w:val="24"/>
          <w:szCs w:val="24"/>
        </w:rPr>
      </w:pPr>
      <w:r>
        <w:rPr>
          <w:b/>
          <w:sz w:val="24"/>
          <w:szCs w:val="24"/>
        </w:rPr>
        <w:t xml:space="preserve">    </w:t>
      </w:r>
      <w:r>
        <w:rPr>
          <w:b/>
          <w:sz w:val="24"/>
          <w:szCs w:val="24"/>
        </w:rPr>
        <w:t>（三）自身发展意识薄弱，主体意识不强</w:t>
      </w:r>
    </w:p>
    <w:p w:rsidR="001C3A4C" w:rsidRDefault="00F208CA">
      <w:pPr>
        <w:spacing w:line="200" w:lineRule="atLeast"/>
        <w:rPr>
          <w:szCs w:val="21"/>
        </w:rPr>
      </w:pPr>
      <w:r>
        <w:rPr>
          <w:sz w:val="24"/>
          <w:szCs w:val="24"/>
        </w:rPr>
        <w:t xml:space="preserve">   </w:t>
      </w:r>
      <w:r>
        <w:rPr>
          <w:szCs w:val="21"/>
        </w:rPr>
        <w:t xml:space="preserve"> </w:t>
      </w:r>
      <w:r>
        <w:rPr>
          <w:szCs w:val="21"/>
        </w:rPr>
        <w:t>马克思认为女性主体意识的觉醒是妇女解放得以实现的主观条件。而在既定的社会环境中，个人期望会影响个体对不同角色的追求与目标，从而塑造个人的角色行为，高校女教师对自身的角色认知直接决定了她们在社会上的角色定位。高校女教师虽然行走在女性权利崛起的前线，但传统</w:t>
      </w:r>
      <w:r>
        <w:rPr>
          <w:szCs w:val="21"/>
        </w:rPr>
        <w:t>“</w:t>
      </w:r>
      <w:r>
        <w:rPr>
          <w:szCs w:val="21"/>
        </w:rPr>
        <w:t>男主外、女主内</w:t>
      </w:r>
      <w:r>
        <w:rPr>
          <w:szCs w:val="21"/>
        </w:rPr>
        <w:t>”</w:t>
      </w:r>
      <w:r>
        <w:rPr>
          <w:szCs w:val="21"/>
        </w:rPr>
        <w:t>的性别分工模式已经在一定程度上深深地积淀在她们的脑海中并外化为行为。有调查显示，在回答</w:t>
      </w:r>
      <w:r>
        <w:rPr>
          <w:szCs w:val="21"/>
        </w:rPr>
        <w:t>“</w:t>
      </w:r>
      <w:r>
        <w:rPr>
          <w:szCs w:val="21"/>
        </w:rPr>
        <w:t>女教师应如何处理家庭与事业的关系</w:t>
      </w:r>
      <w:r>
        <w:rPr>
          <w:szCs w:val="21"/>
        </w:rPr>
        <w:t>”</w:t>
      </w:r>
      <w:r>
        <w:rPr>
          <w:szCs w:val="21"/>
        </w:rPr>
        <w:t>时，</w:t>
      </w:r>
      <w:r>
        <w:rPr>
          <w:szCs w:val="21"/>
        </w:rPr>
        <w:t>76.7%</w:t>
      </w:r>
      <w:r>
        <w:rPr>
          <w:szCs w:val="21"/>
        </w:rPr>
        <w:t>的女教师认为要</w:t>
      </w:r>
      <w:r>
        <w:rPr>
          <w:szCs w:val="21"/>
        </w:rPr>
        <w:t>“</w:t>
      </w:r>
      <w:r>
        <w:rPr>
          <w:szCs w:val="21"/>
        </w:rPr>
        <w:t>家庭事业两者兼顾</w:t>
      </w:r>
      <w:r>
        <w:rPr>
          <w:szCs w:val="21"/>
        </w:rPr>
        <w:t>”</w:t>
      </w:r>
      <w:r>
        <w:rPr>
          <w:szCs w:val="21"/>
        </w:rPr>
        <w:t>，</w:t>
      </w:r>
      <w:r>
        <w:rPr>
          <w:szCs w:val="21"/>
        </w:rPr>
        <w:t>6.7%</w:t>
      </w:r>
      <w:r>
        <w:rPr>
          <w:szCs w:val="21"/>
        </w:rPr>
        <w:t>的人认为</w:t>
      </w:r>
      <w:r>
        <w:rPr>
          <w:szCs w:val="21"/>
        </w:rPr>
        <w:t>“</w:t>
      </w:r>
      <w:r>
        <w:rPr>
          <w:szCs w:val="21"/>
        </w:rPr>
        <w:t>事业第一，家庭第二</w:t>
      </w:r>
      <w:r>
        <w:rPr>
          <w:szCs w:val="21"/>
        </w:rPr>
        <w:t>”</w:t>
      </w:r>
      <w:r>
        <w:rPr>
          <w:szCs w:val="21"/>
        </w:rPr>
        <w:t>。</w:t>
      </w:r>
      <w:r>
        <w:rPr>
          <w:szCs w:val="21"/>
        </w:rPr>
        <w:t>16.6%</w:t>
      </w:r>
      <w:r>
        <w:rPr>
          <w:szCs w:val="21"/>
        </w:rPr>
        <w:t>的人认为</w:t>
      </w:r>
      <w:r>
        <w:rPr>
          <w:szCs w:val="21"/>
        </w:rPr>
        <w:t>“</w:t>
      </w:r>
      <w:r>
        <w:rPr>
          <w:szCs w:val="21"/>
        </w:rPr>
        <w:t>家庭第一，事业第二</w:t>
      </w:r>
      <w:r>
        <w:rPr>
          <w:szCs w:val="21"/>
        </w:rPr>
        <w:t>”</w:t>
      </w:r>
      <w:r>
        <w:rPr>
          <w:szCs w:val="21"/>
        </w:rPr>
        <w:t>。</w:t>
      </w:r>
      <w:r>
        <w:rPr>
          <w:szCs w:val="21"/>
          <w:vertAlign w:val="superscript"/>
        </w:rPr>
        <w:t>[8](P45)</w:t>
      </w:r>
      <w:r>
        <w:rPr>
          <w:szCs w:val="21"/>
        </w:rPr>
        <w:t>显然，高校女教师中以家庭型作为角色定位的人数要大于以事业型作为角色定位的人数，她们一方面渴望</w:t>
      </w:r>
      <w:r>
        <w:rPr>
          <w:szCs w:val="21"/>
        </w:rPr>
        <w:t>“</w:t>
      </w:r>
      <w:r>
        <w:rPr>
          <w:szCs w:val="21"/>
        </w:rPr>
        <w:t>冲出厨房，不做家庭妇女</w:t>
      </w:r>
      <w:r>
        <w:rPr>
          <w:szCs w:val="21"/>
        </w:rPr>
        <w:t>”</w:t>
      </w:r>
      <w:r>
        <w:rPr>
          <w:szCs w:val="21"/>
        </w:rPr>
        <w:t>，另一方面又忌惮着来自世俗的压力，即</w:t>
      </w:r>
      <w:r>
        <w:rPr>
          <w:szCs w:val="21"/>
        </w:rPr>
        <w:t>“</w:t>
      </w:r>
      <w:r>
        <w:rPr>
          <w:szCs w:val="21"/>
        </w:rPr>
        <w:t>女强人等于非女人</w:t>
      </w:r>
      <w:r>
        <w:rPr>
          <w:szCs w:val="21"/>
        </w:rPr>
        <w:t>”</w:t>
      </w:r>
      <w:r>
        <w:rPr>
          <w:szCs w:val="21"/>
        </w:rPr>
        <w:t>。在中国传统的以男权为中心的社会文化氛围里，往往把成功女性塑造为不懂生活、不顾家庭、感情生硬、强势凌厉的没有任何女性气质的形象，而这样的性别气质是不被社会大众所认可的，这样的一种形象暗示，客观上也降低了高校女教师自身的成就动机，她们心甘情愿花更多的</w:t>
      </w:r>
      <w:r>
        <w:rPr>
          <w:szCs w:val="21"/>
        </w:rPr>
        <w:t>时间回归家庭，或者把自身对成功的渴望转嫁到老公甚至是孩子身上。古语有云：</w:t>
      </w:r>
      <w:r>
        <w:rPr>
          <w:szCs w:val="21"/>
        </w:rPr>
        <w:t>“</w:t>
      </w:r>
      <w:r>
        <w:rPr>
          <w:szCs w:val="21"/>
        </w:rPr>
        <w:t>母凭子贵，妻以夫荣</w:t>
      </w:r>
      <w:r>
        <w:rPr>
          <w:szCs w:val="21"/>
        </w:rPr>
        <w:t>”</w:t>
      </w:r>
      <w:r>
        <w:rPr>
          <w:szCs w:val="21"/>
        </w:rPr>
        <w:t>，这种</w:t>
      </w:r>
      <w:r>
        <w:rPr>
          <w:szCs w:val="21"/>
        </w:rPr>
        <w:t>“</w:t>
      </w:r>
      <w:r>
        <w:rPr>
          <w:szCs w:val="21"/>
        </w:rPr>
        <w:t>替代成就感</w:t>
      </w:r>
      <w:r>
        <w:rPr>
          <w:szCs w:val="21"/>
        </w:rPr>
        <w:t>”</w:t>
      </w:r>
      <w:r>
        <w:rPr>
          <w:szCs w:val="21"/>
        </w:rPr>
        <w:t>依然是当代很多高校女教师真实的心理写照。她们惧怕成功并不是不想成功，而是因为一方面在成功的路上她们要付出更多的成本，另一方面，成功也可能带来来自家庭、社会和周围人的不理解。另一个很好的例证是，女教师的科研成果在整体上低于男教师，原因主要是大部分女教师一方面将大部分时间和精力投在了家庭参与上，无暇兼顾科研，另一方面是她们在科研方面的成就动机低于男教师，认为社会不强调女性在智能、事业方面要有高于男性</w:t>
      </w:r>
      <w:r>
        <w:rPr>
          <w:szCs w:val="21"/>
        </w:rPr>
        <w:t>的成就，科研是男性理所应当的事业而对女性不是必然要求。这就导致了她们自我成就期望低，自信心和进取心不足，发展意识、成功意识和主体意识偏弱甚至淡薄。</w:t>
      </w:r>
    </w:p>
    <w:p w:rsidR="001C3A4C" w:rsidRDefault="00F208CA">
      <w:pPr>
        <w:spacing w:line="200" w:lineRule="atLeast"/>
        <w:rPr>
          <w:b/>
          <w:sz w:val="24"/>
          <w:szCs w:val="24"/>
        </w:rPr>
      </w:pPr>
      <w:r>
        <w:rPr>
          <w:b/>
          <w:sz w:val="24"/>
          <w:szCs w:val="24"/>
        </w:rPr>
        <w:t xml:space="preserve">    </w:t>
      </w:r>
      <w:r>
        <w:rPr>
          <w:b/>
          <w:sz w:val="24"/>
          <w:szCs w:val="24"/>
        </w:rPr>
        <w:t>（四）男权评价体系下女性的弱势</w:t>
      </w:r>
    </w:p>
    <w:p w:rsidR="001C3A4C" w:rsidRDefault="00F208CA">
      <w:pPr>
        <w:jc w:val="left"/>
        <w:rPr>
          <w:rFonts w:cs="宋体"/>
          <w:szCs w:val="21"/>
        </w:rPr>
      </w:pPr>
      <w:r>
        <w:rPr>
          <w:sz w:val="24"/>
          <w:szCs w:val="24"/>
        </w:rPr>
        <w:t xml:space="preserve">   </w:t>
      </w:r>
      <w:r>
        <w:rPr>
          <w:szCs w:val="21"/>
        </w:rPr>
        <w:t xml:space="preserve"> </w:t>
      </w:r>
      <w:r>
        <w:rPr>
          <w:szCs w:val="21"/>
        </w:rPr>
        <w:t>封建社会，</w:t>
      </w:r>
      <w:r>
        <w:rPr>
          <w:szCs w:val="21"/>
        </w:rPr>
        <w:t>“</w:t>
      </w:r>
      <w:r>
        <w:rPr>
          <w:szCs w:val="21"/>
        </w:rPr>
        <w:t>女子无才便是德</w:t>
      </w:r>
      <w:r>
        <w:rPr>
          <w:szCs w:val="21"/>
        </w:rPr>
        <w:t>”</w:t>
      </w:r>
      <w:r>
        <w:rPr>
          <w:szCs w:val="21"/>
        </w:rPr>
        <w:t>的观念使大部分女性失去了受教育的权利，直至今日，这种思想作为潜意识依然在发挥着作用并且造成了实质上的高校女教师整体发展普遍低于男教师的状况。王宁莲</w:t>
      </w:r>
      <w:r>
        <w:rPr>
          <w:szCs w:val="21"/>
          <w:vertAlign w:val="superscript"/>
        </w:rPr>
        <w:t>[9](P1-21)</w:t>
      </w:r>
      <w:r>
        <w:rPr>
          <w:szCs w:val="21"/>
        </w:rPr>
        <w:t>通过对某高校</w:t>
      </w:r>
      <w:r>
        <w:rPr>
          <w:szCs w:val="21"/>
        </w:rPr>
        <w:t>1600</w:t>
      </w:r>
      <w:r>
        <w:rPr>
          <w:szCs w:val="21"/>
        </w:rPr>
        <w:t>名专职教师的统计研究发现，性别工资差异</w:t>
      </w:r>
      <w:r>
        <w:rPr>
          <w:szCs w:val="21"/>
        </w:rPr>
        <w:lastRenderedPageBreak/>
        <w:t>已经成为我国高校的一大显性现象，女教师因为自身女性身份在学历、晋</w:t>
      </w:r>
      <w:r>
        <w:rPr>
          <w:szCs w:val="21"/>
        </w:rPr>
        <w:t>升、职称评定和科研成果等方面都远逊于男教师。刘华钢、陈媛</w:t>
      </w:r>
      <w:r>
        <w:rPr>
          <w:rFonts w:cs="宋体"/>
          <w:szCs w:val="21"/>
          <w:vertAlign w:val="superscript"/>
        </w:rPr>
        <w:t>[</w:t>
      </w:r>
      <w:r>
        <w:rPr>
          <w:rFonts w:cs="宋体" w:hint="eastAsia"/>
          <w:szCs w:val="21"/>
          <w:vertAlign w:val="superscript"/>
        </w:rPr>
        <w:t>10</w:t>
      </w:r>
      <w:r>
        <w:rPr>
          <w:rFonts w:cs="宋体"/>
          <w:szCs w:val="21"/>
          <w:vertAlign w:val="superscript"/>
        </w:rPr>
        <w:t>](P3-6)</w:t>
      </w:r>
      <w:r>
        <w:rPr>
          <w:szCs w:val="21"/>
        </w:rPr>
        <w:t>等通过对广西十所高校</w:t>
      </w:r>
      <w:r>
        <w:rPr>
          <w:szCs w:val="21"/>
        </w:rPr>
        <w:t>869</w:t>
      </w:r>
      <w:r>
        <w:rPr>
          <w:szCs w:val="21"/>
        </w:rPr>
        <w:t>名教师的个人问卷调查所得的数据说明，</w:t>
      </w:r>
      <w:r>
        <w:rPr>
          <w:rFonts w:cs="宋体" w:hint="eastAsia"/>
          <w:szCs w:val="21"/>
        </w:rPr>
        <w:t>女教师的总体发展水平在客观指标上大幅度低于男教师</w:t>
      </w:r>
      <w:r>
        <w:rPr>
          <w:rFonts w:cs="B5+CAJSymbolA" w:hint="eastAsia"/>
          <w:szCs w:val="21"/>
        </w:rPr>
        <w:t>，</w:t>
      </w:r>
      <w:r>
        <w:rPr>
          <w:rFonts w:cs="宋体" w:hint="eastAsia"/>
          <w:szCs w:val="21"/>
        </w:rPr>
        <w:t>在主观感受上，女教师也认为自身在发展的水平</w:t>
      </w:r>
      <w:r>
        <w:rPr>
          <w:rFonts w:cs="B5+CAJSymbolA" w:hint="eastAsia"/>
          <w:szCs w:val="21"/>
        </w:rPr>
        <w:t>、</w:t>
      </w:r>
      <w:r>
        <w:rPr>
          <w:rFonts w:cs="宋体" w:hint="eastAsia"/>
          <w:szCs w:val="21"/>
        </w:rPr>
        <w:t>条件和获得的机会上不如男教师。</w:t>
      </w:r>
      <w:r>
        <w:rPr>
          <w:szCs w:val="21"/>
        </w:rPr>
        <w:t>女教师弱势地位的形成，既有她们基于自身角色认知下的自卑感作祟，更由公共政策的性别意识缺失、不合理的社会评价体系所致。一方面，学校的人事结构大都以男性为中心，</w:t>
      </w:r>
      <w:r>
        <w:rPr>
          <w:szCs w:val="21"/>
        </w:rPr>
        <w:t>由男性来制定</w:t>
      </w:r>
      <w:r>
        <w:rPr>
          <w:szCs w:val="21"/>
        </w:rPr>
        <w:t>“</w:t>
      </w:r>
      <w:r>
        <w:rPr>
          <w:szCs w:val="21"/>
        </w:rPr>
        <w:t>游戏规则</w:t>
      </w:r>
      <w:r>
        <w:rPr>
          <w:szCs w:val="21"/>
        </w:rPr>
        <w:t>”</w:t>
      </w:r>
      <w:r>
        <w:rPr>
          <w:szCs w:val="21"/>
        </w:rPr>
        <w:t>，这样一来，男性不仅对高校的资源占有和位置分配拥有话语权，而且各式规章制度和评价体系也都是他们思维的产物，人类天生的</w:t>
      </w:r>
      <w:r>
        <w:rPr>
          <w:szCs w:val="21"/>
        </w:rPr>
        <w:t>“</w:t>
      </w:r>
      <w:r>
        <w:rPr>
          <w:szCs w:val="21"/>
        </w:rPr>
        <w:t>利己</w:t>
      </w:r>
      <w:r>
        <w:rPr>
          <w:szCs w:val="21"/>
        </w:rPr>
        <w:t>”</w:t>
      </w:r>
      <w:r>
        <w:rPr>
          <w:szCs w:val="21"/>
        </w:rPr>
        <w:t>本性使得男性单方面制定的制度规范和评价体系对女教师而言实际上成为了掩盖在公平</w:t>
      </w:r>
      <w:r>
        <w:rPr>
          <w:szCs w:val="21"/>
        </w:rPr>
        <w:t>“</w:t>
      </w:r>
      <w:r>
        <w:rPr>
          <w:szCs w:val="21"/>
        </w:rPr>
        <w:t>外衣</w:t>
      </w:r>
      <w:r>
        <w:rPr>
          <w:szCs w:val="21"/>
        </w:rPr>
        <w:t>”</w:t>
      </w:r>
      <w:r>
        <w:rPr>
          <w:szCs w:val="21"/>
        </w:rPr>
        <w:t>下的一种控制，女教师变成了事实上的</w:t>
      </w:r>
      <w:r>
        <w:rPr>
          <w:szCs w:val="21"/>
        </w:rPr>
        <w:t>“</w:t>
      </w:r>
      <w:r>
        <w:rPr>
          <w:szCs w:val="21"/>
        </w:rPr>
        <w:t>局里的局外人</w:t>
      </w:r>
      <w:r>
        <w:rPr>
          <w:szCs w:val="21"/>
        </w:rPr>
        <w:t>”</w:t>
      </w:r>
      <w:r>
        <w:rPr>
          <w:szCs w:val="21"/>
        </w:rPr>
        <w:t>。众所周知，我国高校普遍存在着</w:t>
      </w:r>
      <w:r>
        <w:rPr>
          <w:szCs w:val="21"/>
        </w:rPr>
        <w:t>“</w:t>
      </w:r>
      <w:r>
        <w:rPr>
          <w:szCs w:val="21"/>
        </w:rPr>
        <w:t>重科研、轻教学</w:t>
      </w:r>
      <w:r>
        <w:rPr>
          <w:szCs w:val="21"/>
        </w:rPr>
        <w:t>”</w:t>
      </w:r>
      <w:r>
        <w:rPr>
          <w:szCs w:val="21"/>
        </w:rPr>
        <w:t>的现象，在这样一种男权评价体系</w:t>
      </w:r>
      <w:r>
        <w:rPr>
          <w:szCs w:val="21"/>
        </w:rPr>
        <w:t>“</w:t>
      </w:r>
      <w:r>
        <w:rPr>
          <w:szCs w:val="21"/>
        </w:rPr>
        <w:t>扬男教师之所长</w:t>
      </w:r>
      <w:r>
        <w:rPr>
          <w:szCs w:val="21"/>
        </w:rPr>
        <w:t>”</w:t>
      </w:r>
      <w:r>
        <w:rPr>
          <w:szCs w:val="21"/>
        </w:rPr>
        <w:t>的发展理念的作用下，女教师的优势被抑制，处于一种被动、弱势地位，制约了她们的进一步发展。另一方面，当今我国高校所执行的退休政策是女早男</w:t>
      </w:r>
      <w:r>
        <w:rPr>
          <w:szCs w:val="21"/>
        </w:rPr>
        <w:t>5</w:t>
      </w:r>
      <w:r>
        <w:rPr>
          <w:szCs w:val="21"/>
        </w:rPr>
        <w:t>年退休，完全没有考虑到教师这一行业所从事的是脑力劳动，男女教师的能力和智力并不会因</w:t>
      </w:r>
      <w:r>
        <w:rPr>
          <w:szCs w:val="21"/>
        </w:rPr>
        <w:t>5</w:t>
      </w:r>
      <w:r>
        <w:rPr>
          <w:szCs w:val="21"/>
        </w:rPr>
        <w:t>岁年龄差而出现多大的差异，区别对待的退休年龄，不仅不具科学性，而且是对人力资源的严重浪费。当前以男性为主导的男权评价体系，对女性而言更多的是同优不同取，机会不平等。聘任起始不存在差异的男女教师，在后期的工作中，职称、职务晋升、科研成果和工资水平之间都会出现巨大差距。</w:t>
      </w:r>
    </w:p>
    <w:p w:rsidR="001C3A4C" w:rsidRDefault="00F208CA">
      <w:pPr>
        <w:spacing w:line="200" w:lineRule="atLeast"/>
        <w:ind w:firstLine="551"/>
        <w:rPr>
          <w:rFonts w:cs="宋体"/>
          <w:b/>
          <w:sz w:val="28"/>
          <w:szCs w:val="28"/>
        </w:rPr>
      </w:pPr>
      <w:r>
        <w:rPr>
          <w:rFonts w:cs="宋体" w:hint="eastAsia"/>
          <w:b/>
          <w:sz w:val="28"/>
          <w:szCs w:val="28"/>
        </w:rPr>
        <w:t>四、消除高校女教师发展障碍性因素的路径探索</w:t>
      </w:r>
    </w:p>
    <w:p w:rsidR="001C3A4C" w:rsidRDefault="00F208CA">
      <w:pPr>
        <w:spacing w:line="200" w:lineRule="atLeast"/>
        <w:rPr>
          <w:b/>
          <w:sz w:val="24"/>
          <w:szCs w:val="24"/>
        </w:rPr>
      </w:pPr>
      <w:r>
        <w:rPr>
          <w:b/>
          <w:sz w:val="24"/>
          <w:szCs w:val="24"/>
        </w:rPr>
        <w:t xml:space="preserve">    </w:t>
      </w:r>
      <w:r>
        <w:rPr>
          <w:b/>
          <w:sz w:val="24"/>
          <w:szCs w:val="24"/>
        </w:rPr>
        <w:t>（一）营造性别平等的社会环境</w:t>
      </w:r>
    </w:p>
    <w:p w:rsidR="001C3A4C" w:rsidRDefault="00F208CA">
      <w:pPr>
        <w:spacing w:line="200" w:lineRule="atLeast"/>
        <w:rPr>
          <w:szCs w:val="21"/>
        </w:rPr>
      </w:pPr>
      <w:r>
        <w:rPr>
          <w:sz w:val="24"/>
          <w:szCs w:val="24"/>
        </w:rPr>
        <w:t xml:space="preserve">    </w:t>
      </w:r>
      <w:r>
        <w:rPr>
          <w:szCs w:val="21"/>
        </w:rPr>
        <w:t>在马克思的视野里，人的自由而全面的发展必须实现自然存在、社会存在与精</w:t>
      </w:r>
      <w:r>
        <w:rPr>
          <w:szCs w:val="21"/>
        </w:rPr>
        <w:t>神存在的完整统一，因此，要实现高校女教师的全面发展，重要的是要努力构建平等的性别文化，营造先进的社会文化氛围。首先，要充分发挥大众传媒的作用，宣传倡导先进的性别文化，监督抵制落后的性别文化，在社会上形成强有力的舆论氛围，引导公众克服刻板、传统、一成不变的性别观念。重视家庭领域中的性别平等，在婚姻关系中要注重两性关系的平等与和谐，实现男女两性对家庭责任、家务劳动的共同承担，在面对资源和机会时，两性之间要自觉做到共享和互相帮扶。其次，政府要认识到女性作为一个文化创造主体对于社会发展的重要作用，将性别意识有意识地</w:t>
      </w:r>
      <w:r>
        <w:rPr>
          <w:szCs w:val="21"/>
        </w:rPr>
        <w:t>纳入到社会进步和发展的轨道中去，在拟定关于就业、休假等政策时切实考虑到女性生理和心理特征，在公民参政议政时严格遵守男女平等的基本国策，用政府行为引导社会性别公平环境的构建。再次，高校要认识到女教师在面对组织隐性性别歧视时所处的不利地位，构建合理科学的评价体系和激励机制。一方面在评估时要做到教学和科研并重，不使女教师以己之所短对应男教师之所长，竭力消除偏颇，做到公平。在科研立项时实施适当的过渡性的政策偏倚，采取</w:t>
      </w:r>
      <w:r>
        <w:rPr>
          <w:szCs w:val="21"/>
        </w:rPr>
        <w:t>“</w:t>
      </w:r>
      <w:r>
        <w:rPr>
          <w:szCs w:val="21"/>
        </w:rPr>
        <w:t>公平加优先</w:t>
      </w:r>
      <w:r>
        <w:rPr>
          <w:szCs w:val="21"/>
        </w:rPr>
        <w:t>”</w:t>
      </w:r>
      <w:r>
        <w:rPr>
          <w:szCs w:val="21"/>
        </w:rPr>
        <w:t>原则，在资金和准入门槛上给予女教师更多的支持。另一方面，在制定教育教学及科研评价体系时</w:t>
      </w:r>
      <w:r>
        <w:rPr>
          <w:szCs w:val="21"/>
        </w:rPr>
        <w:t>，要让女教师参与到决策的讨论和制定中去，而不是做一个</w:t>
      </w:r>
      <w:r>
        <w:rPr>
          <w:szCs w:val="21"/>
        </w:rPr>
        <w:t>“</w:t>
      </w:r>
      <w:r>
        <w:rPr>
          <w:szCs w:val="21"/>
        </w:rPr>
        <w:t>失语者</w:t>
      </w:r>
      <w:r>
        <w:rPr>
          <w:szCs w:val="21"/>
        </w:rPr>
        <w:t>”</w:t>
      </w:r>
      <w:r>
        <w:rPr>
          <w:szCs w:val="21"/>
        </w:rPr>
        <w:t>，了解她们的困境，倾听她们的意愿，构建有利于女教师发展的平台，使她们的自身价值得到最大化实现。我们的社会文化只有立足于实现人人平等，致力于从观念上破除陋习，才能消除传统性别文化的影响，营造一种和谐的、尊重女性的性别文化氛围。</w:t>
      </w:r>
    </w:p>
    <w:p w:rsidR="001C3A4C" w:rsidRDefault="00F208CA">
      <w:pPr>
        <w:spacing w:line="200" w:lineRule="atLeast"/>
        <w:rPr>
          <w:b/>
          <w:sz w:val="24"/>
          <w:szCs w:val="24"/>
        </w:rPr>
      </w:pPr>
      <w:r>
        <w:rPr>
          <w:b/>
          <w:sz w:val="24"/>
          <w:szCs w:val="24"/>
        </w:rPr>
        <w:t xml:space="preserve">    </w:t>
      </w:r>
      <w:r>
        <w:rPr>
          <w:b/>
          <w:sz w:val="24"/>
          <w:szCs w:val="24"/>
        </w:rPr>
        <w:t>（二）夯实女性精神基石，提高自身主体意识</w:t>
      </w:r>
    </w:p>
    <w:p w:rsidR="001C3A4C" w:rsidRDefault="00F208CA">
      <w:pPr>
        <w:spacing w:line="200" w:lineRule="atLeast"/>
        <w:rPr>
          <w:szCs w:val="21"/>
        </w:rPr>
      </w:pPr>
      <w:r>
        <w:rPr>
          <w:sz w:val="24"/>
          <w:szCs w:val="24"/>
        </w:rPr>
        <w:t xml:space="preserve">    </w:t>
      </w:r>
      <w:r>
        <w:rPr>
          <w:szCs w:val="21"/>
        </w:rPr>
        <w:t>思想是行动的先导，教师的发展必须是基于能否实现自身生命价值的忧虑和危机感，这种对生命的忧虑才是教师不断进取的动力源泉。</w:t>
      </w:r>
      <w:r>
        <w:rPr>
          <w:szCs w:val="21"/>
          <w:vertAlign w:val="superscript"/>
        </w:rPr>
        <w:t>[11](P65-67)</w:t>
      </w:r>
      <w:r>
        <w:rPr>
          <w:szCs w:val="21"/>
        </w:rPr>
        <w:t xml:space="preserve"> </w:t>
      </w:r>
      <w:r>
        <w:rPr>
          <w:szCs w:val="21"/>
        </w:rPr>
        <w:t>这也是马克思在倡导的女</w:t>
      </w:r>
      <w:r>
        <w:rPr>
          <w:szCs w:val="21"/>
        </w:rPr>
        <w:t>性主体性时对女性自觉能动性的现实理解。高校女教师唯有先从自我思想上摒弃传统性别观念的桎梏，树立先进的性别观念，才能清醒地认识到自身的特点并更好地履行自己的社会责任、历史使命和人生义务。首先，高校女教师要摆脱自身的被动性和依赖性，提高自我独立思考和判断能力。不能一味把自身发展倚重在国家政策和学校制度的倾斜上，单一地渴求社会的保护，因为这非但有违男女平等的本质，而且容易陷入</w:t>
      </w:r>
      <w:r>
        <w:rPr>
          <w:szCs w:val="21"/>
        </w:rPr>
        <w:t>“</w:t>
      </w:r>
      <w:r>
        <w:rPr>
          <w:szCs w:val="21"/>
        </w:rPr>
        <w:t>我弱我有理</w:t>
      </w:r>
      <w:r>
        <w:rPr>
          <w:szCs w:val="21"/>
        </w:rPr>
        <w:t>”</w:t>
      </w:r>
      <w:r>
        <w:rPr>
          <w:szCs w:val="21"/>
        </w:rPr>
        <w:t>的思维怪圈，以弱者心态在被社会照顾的过程中期待更多的照顾，不利于女教师的长期发展。另一方面，传统的女性文化研究的偏颇之处之一就</w:t>
      </w:r>
      <w:r>
        <w:rPr>
          <w:szCs w:val="21"/>
        </w:rPr>
        <w:t>是它往往只看到了女性发展对家庭、社会的进步意义，而忽视了女性自我创造的价值，没有看到女性作为文化创造主体在奉献社会的同时也创造和完善了自身。高校女教师在追求男女平权的同时更要注重自身的改造与完善，确立自我意识，增强自主观念，丰富自身女性特质，找回自我，找准自身角色定位。高校女教</w:t>
      </w:r>
      <w:r>
        <w:rPr>
          <w:szCs w:val="21"/>
        </w:rPr>
        <w:lastRenderedPageBreak/>
        <w:t>师要正确处理好事业与家庭事务之间的关系，合理调度时间，协调角色冲突，建立合理的工作生活模式。同时，要充分认识到自身在社会公共领域的重要作用，认识到自身是参与社会劳动，推动生产力发展的一股坚实力量，不是协作者，更不是服从者，而是充分享有</w:t>
      </w:r>
      <w:r>
        <w:rPr>
          <w:szCs w:val="21"/>
        </w:rPr>
        <w:t>独立、自由的个体。</w:t>
      </w:r>
    </w:p>
    <w:p w:rsidR="001C3A4C" w:rsidRDefault="00F208CA">
      <w:pPr>
        <w:spacing w:line="200" w:lineRule="atLeast"/>
        <w:rPr>
          <w:b/>
          <w:sz w:val="24"/>
          <w:szCs w:val="24"/>
        </w:rPr>
      </w:pPr>
      <w:r>
        <w:rPr>
          <w:b/>
          <w:sz w:val="24"/>
          <w:szCs w:val="24"/>
        </w:rPr>
        <w:t xml:space="preserve">    </w:t>
      </w:r>
      <w:r>
        <w:rPr>
          <w:b/>
          <w:sz w:val="24"/>
          <w:szCs w:val="24"/>
        </w:rPr>
        <w:t>（三）提高自身素质，展现自身性别优势</w:t>
      </w:r>
    </w:p>
    <w:p w:rsidR="001C3A4C" w:rsidRDefault="00F208CA">
      <w:pPr>
        <w:spacing w:line="200" w:lineRule="atLeast"/>
        <w:rPr>
          <w:szCs w:val="21"/>
        </w:rPr>
      </w:pPr>
      <w:r>
        <w:rPr>
          <w:sz w:val="24"/>
          <w:szCs w:val="24"/>
        </w:rPr>
        <w:t xml:space="preserve">   </w:t>
      </w:r>
      <w:r>
        <w:rPr>
          <w:szCs w:val="21"/>
        </w:rPr>
        <w:t>女性不是天生的弱者，男女之间权利的不平等绝不是恒常无变的自然现象。高校女教师要明确自身发展的目标，坚定信心，树立</w:t>
      </w:r>
      <w:r>
        <w:rPr>
          <w:szCs w:val="21"/>
        </w:rPr>
        <w:t>“</w:t>
      </w:r>
      <w:r>
        <w:rPr>
          <w:szCs w:val="21"/>
        </w:rPr>
        <w:t>自尊、自信、自立、自强</w:t>
      </w:r>
      <w:r>
        <w:rPr>
          <w:szCs w:val="21"/>
        </w:rPr>
        <w:t>”</w:t>
      </w:r>
      <w:r>
        <w:rPr>
          <w:szCs w:val="21"/>
        </w:rPr>
        <w:t>意识，不断超越自我。一方面要加强学习，用新时代知识女性的标准来严格要求自己，随着现代高校的改革不断提升职业角色所需的各种能力，培养核心竞争力，培养创新精神，提升专业技能，树立终身学习的观念，充分挖掘自身潜能，使自己成为高素质复合型创新人才。另一方面要独立自主、意志坚定，不惧压力，敢于参与竞争，敢于在面</w:t>
      </w:r>
      <w:r>
        <w:rPr>
          <w:szCs w:val="21"/>
        </w:rPr>
        <w:t>对不公正待遇时发出自己的声音。一直以来，女性都被视为是</w:t>
      </w:r>
      <w:r>
        <w:rPr>
          <w:szCs w:val="21"/>
        </w:rPr>
        <w:t>“</w:t>
      </w:r>
      <w:r>
        <w:rPr>
          <w:szCs w:val="21"/>
        </w:rPr>
        <w:t>感性动物</w:t>
      </w:r>
      <w:r>
        <w:rPr>
          <w:szCs w:val="21"/>
        </w:rPr>
        <w:t>”</w:t>
      </w:r>
      <w:r>
        <w:rPr>
          <w:szCs w:val="21"/>
        </w:rPr>
        <w:t>，高校女教师在教育教学和科研工作中要敢于打破这种业已形成的自我规定性，挖掘自身理性意识，敢于质疑，勤于思考，通过不断的发问、觉察、纠偏和矫正增强自身理性思考能力，促进自身发展。心理学研究表明，女教师相较于男教师，有自身特殊的性别优势，如具备亲和力、耐心细致、更有韧性，更擅长心灵启迪等。教育的本质是爱，而女教师天然的母性特征再加上她们良好的学识积累使得她们的教育过程会如</w:t>
      </w:r>
      <w:r>
        <w:rPr>
          <w:szCs w:val="21"/>
        </w:rPr>
        <w:t>“</w:t>
      </w:r>
      <w:r>
        <w:rPr>
          <w:szCs w:val="21"/>
        </w:rPr>
        <w:t>春风化雨</w:t>
      </w:r>
      <w:r>
        <w:rPr>
          <w:szCs w:val="21"/>
        </w:rPr>
        <w:t>”</w:t>
      </w:r>
      <w:r>
        <w:rPr>
          <w:szCs w:val="21"/>
        </w:rPr>
        <w:t>般充满人文关怀。高校女教师一方面要锻造自身职业品质，另一方面要充</w:t>
      </w:r>
      <w:r>
        <w:rPr>
          <w:szCs w:val="21"/>
        </w:rPr>
        <w:t>分发挥自身优秀的女性特征，扬己之所长，使其成为自身进一步发展的宝贵资源，也使得这些优秀特征在高等教育活动中发挥最大作用。</w:t>
      </w:r>
    </w:p>
    <w:p w:rsidR="001C3A4C" w:rsidRDefault="00F208CA">
      <w:pPr>
        <w:spacing w:line="200" w:lineRule="atLeast"/>
        <w:ind w:firstLine="420"/>
        <w:rPr>
          <w:szCs w:val="21"/>
        </w:rPr>
      </w:pPr>
      <w:bookmarkStart w:id="0" w:name="_GoBack"/>
      <w:bookmarkEnd w:id="0"/>
      <w:r>
        <w:rPr>
          <w:szCs w:val="21"/>
        </w:rPr>
        <w:t>恩格斯说：</w:t>
      </w:r>
      <w:r>
        <w:rPr>
          <w:szCs w:val="21"/>
        </w:rPr>
        <w:t>“</w:t>
      </w:r>
      <w:r>
        <w:rPr>
          <w:szCs w:val="21"/>
        </w:rPr>
        <w:t>每个了解一点历史的人也都知道，没有妇女的酵素就不可能有社会的伟大变革。社会的进步可以用女性（丑的也包括在内）的社会地位来精确地衡量。</w:t>
      </w:r>
      <w:r>
        <w:rPr>
          <w:szCs w:val="21"/>
        </w:rPr>
        <w:t>”</w:t>
      </w:r>
      <w:r>
        <w:rPr>
          <w:szCs w:val="21"/>
          <w:vertAlign w:val="superscript"/>
        </w:rPr>
        <w:t>[12](P571)</w:t>
      </w:r>
      <w:r>
        <w:rPr>
          <w:szCs w:val="21"/>
        </w:rPr>
        <w:t>实现男女平等，是历史发展的必然要求，也是对马克思主义妇女观的丰富与完善。高校女教师在社会愈来愈现代化的今天面临着越来越少的传统性别观念禁锢，她们获得了远超以往的与男教师平等发展的机遇。但是，社会价值观的转变是循序渐进的，对传</w:t>
      </w:r>
      <w:r>
        <w:rPr>
          <w:szCs w:val="21"/>
        </w:rPr>
        <w:t>统观念的扭转和改进更不可能是一蹴而就的，高校女教师要认清现实，同时在行且艰的道路上明确自身责任，为促进性别平等和高校女教师权利的发展不懈努力。社会是由男女两性组成的，提倡</w:t>
      </w:r>
      <w:r>
        <w:rPr>
          <w:szCs w:val="21"/>
        </w:rPr>
        <w:t>“</w:t>
      </w:r>
      <w:r>
        <w:rPr>
          <w:szCs w:val="21"/>
        </w:rPr>
        <w:t>男女平等</w:t>
      </w:r>
      <w:r>
        <w:rPr>
          <w:szCs w:val="21"/>
        </w:rPr>
        <w:t>”</w:t>
      </w:r>
      <w:r>
        <w:rPr>
          <w:szCs w:val="21"/>
        </w:rPr>
        <w:t>绝不是要在观念上实现二者性别趋同。恰恰相反，和谐是对立统一，截然不同同样有实现和谐的可能性，和谐不是</w:t>
      </w:r>
      <w:r>
        <w:rPr>
          <w:szCs w:val="21"/>
        </w:rPr>
        <w:t>“</w:t>
      </w:r>
      <w:r>
        <w:rPr>
          <w:szCs w:val="21"/>
        </w:rPr>
        <w:t>强人以就我</w:t>
      </w:r>
      <w:r>
        <w:rPr>
          <w:szCs w:val="21"/>
        </w:rPr>
        <w:t>”</w:t>
      </w:r>
      <w:r>
        <w:rPr>
          <w:szCs w:val="21"/>
        </w:rPr>
        <w:t>，而是对立面的一致，是多样化的统一。高校女教师作为优秀的女性群体，更要与时俱进，抛却极端偏见，与男教师协同合作，互助互补，使得男女两性都在充分发挥各自性别优势的基础上实现动态平衡。</w:t>
      </w:r>
    </w:p>
    <w:p w:rsidR="001C3A4C" w:rsidRDefault="001C3A4C">
      <w:pPr>
        <w:spacing w:line="360" w:lineRule="auto"/>
        <w:rPr>
          <w:szCs w:val="21"/>
        </w:rPr>
      </w:pPr>
    </w:p>
    <w:p w:rsidR="001C3A4C" w:rsidRDefault="001C3A4C">
      <w:pPr>
        <w:spacing w:line="360" w:lineRule="auto"/>
        <w:rPr>
          <w:sz w:val="24"/>
          <w:szCs w:val="24"/>
        </w:rPr>
      </w:pPr>
    </w:p>
    <w:p w:rsidR="001C3A4C" w:rsidRDefault="00F208CA">
      <w:pPr>
        <w:widowControl/>
        <w:rPr>
          <w:rFonts w:cs="宋体"/>
          <w:b/>
          <w:sz w:val="24"/>
          <w:szCs w:val="24"/>
        </w:rPr>
      </w:pPr>
      <w:r>
        <w:rPr>
          <w:rFonts w:cs="宋体" w:hint="eastAsia"/>
          <w:b/>
          <w:sz w:val="24"/>
          <w:szCs w:val="24"/>
        </w:rPr>
        <w:t>参考文献：</w:t>
      </w:r>
    </w:p>
    <w:p w:rsidR="001C3A4C" w:rsidRDefault="00F208CA">
      <w:pPr>
        <w:rPr>
          <w:szCs w:val="21"/>
        </w:rPr>
      </w:pPr>
      <w:r>
        <w:rPr>
          <w:szCs w:val="21"/>
        </w:rPr>
        <w:t>[1]</w:t>
      </w:r>
      <w:r>
        <w:rPr>
          <w:szCs w:val="21"/>
        </w:rPr>
        <w:t>中华人民共和</w:t>
      </w:r>
      <w:r>
        <w:rPr>
          <w:szCs w:val="21"/>
        </w:rPr>
        <w:t>国教育部高等教育学校（机构）教职工情况（普通高校），</w:t>
      </w:r>
      <w:hyperlink r:id="rId7" w:history="1">
        <w:r>
          <w:rPr>
            <w:szCs w:val="21"/>
          </w:rPr>
          <w:t>http://www.moe.gov.cn/s78/A03/moe_560/jytjsj</w:t>
        </w:r>
        <w:r>
          <w:rPr>
            <w:szCs w:val="21"/>
          </w:rPr>
          <w:t>，</w:t>
        </w:r>
        <w:r>
          <w:rPr>
            <w:szCs w:val="21"/>
          </w:rPr>
          <w:t>2015.7.15</w:t>
        </w:r>
      </w:hyperlink>
      <w:r>
        <w:rPr>
          <w:szCs w:val="21"/>
        </w:rPr>
        <w:t>.</w:t>
      </w:r>
    </w:p>
    <w:p w:rsidR="001C3A4C" w:rsidRDefault="00F208CA">
      <w:r>
        <w:rPr>
          <w:szCs w:val="21"/>
        </w:rPr>
        <w:t>[2]</w:t>
      </w:r>
      <w:r>
        <w:t>赵小华</w:t>
      </w:r>
      <w:r>
        <w:t xml:space="preserve">. </w:t>
      </w:r>
      <w:r>
        <w:t>女性主体性：对马克思主义妇女观的一种新解读</w:t>
      </w:r>
      <w:r>
        <w:rPr>
          <w:rFonts w:ascii="Cambria" w:eastAsia="Cambria" w:hAnsi="Cambria"/>
        </w:rPr>
        <w:t>[J].</w:t>
      </w:r>
      <w:r>
        <w:rPr>
          <w:rFonts w:ascii="Cambria" w:eastAsia="Cambria" w:hAnsi="Cambria" w:hint="eastAsia"/>
        </w:rPr>
        <w:t>妇女研究论丛，</w:t>
      </w:r>
      <w:r>
        <w:rPr>
          <w:rFonts w:ascii="Cambria" w:eastAsia="Cambria" w:hAnsi="Cambria" w:hint="eastAsia"/>
        </w:rPr>
        <w:t>2001</w:t>
      </w:r>
      <w:r>
        <w:rPr>
          <w:rFonts w:ascii="Cambria" w:eastAsia="Cambria" w:hAnsi="Cambria" w:hint="eastAsia"/>
        </w:rPr>
        <w:t>（</w:t>
      </w:r>
      <w:r>
        <w:rPr>
          <w:rFonts w:ascii="Cambria" w:eastAsia="Cambria" w:hAnsi="Cambria" w:hint="eastAsia"/>
        </w:rPr>
        <w:t>04</w:t>
      </w:r>
      <w:r>
        <w:rPr>
          <w:rFonts w:ascii="Cambria" w:eastAsia="Cambria" w:hAnsi="Cambria" w:hint="eastAsia"/>
        </w:rPr>
        <w:t>）</w:t>
      </w:r>
      <w:r>
        <w:rPr>
          <w:rFonts w:ascii="Cambria" w:eastAsia="Cambria" w:hAnsi="Cambria" w:hint="eastAsia"/>
        </w:rPr>
        <w:t>.</w:t>
      </w:r>
    </w:p>
    <w:p w:rsidR="001C3A4C" w:rsidRDefault="00F208CA">
      <w:pPr>
        <w:rPr>
          <w:szCs w:val="21"/>
        </w:rPr>
      </w:pPr>
      <w:r>
        <w:rPr>
          <w:szCs w:val="21"/>
        </w:rPr>
        <w:t>[3]</w:t>
      </w:r>
      <w:r>
        <w:rPr>
          <w:szCs w:val="21"/>
        </w:rPr>
        <w:t>万琼华</w:t>
      </w:r>
      <w:r>
        <w:rPr>
          <w:szCs w:val="21"/>
        </w:rPr>
        <w:t>.</w:t>
      </w:r>
      <w:r>
        <w:rPr>
          <w:szCs w:val="21"/>
        </w:rPr>
        <w:t>传统性别分工对高校女教师的负面影响</w:t>
      </w:r>
      <w:r>
        <w:rPr>
          <w:szCs w:val="21"/>
        </w:rPr>
        <w:t>[J].</w:t>
      </w:r>
      <w:r>
        <w:rPr>
          <w:szCs w:val="21"/>
        </w:rPr>
        <w:t>探索与争鸣，</w:t>
      </w:r>
      <w:r>
        <w:rPr>
          <w:szCs w:val="21"/>
        </w:rPr>
        <w:t>2004</w:t>
      </w:r>
      <w:r>
        <w:rPr>
          <w:szCs w:val="21"/>
        </w:rPr>
        <w:t>（</w:t>
      </w:r>
      <w:r>
        <w:rPr>
          <w:szCs w:val="21"/>
        </w:rPr>
        <w:t>01</w:t>
      </w:r>
      <w:r>
        <w:rPr>
          <w:szCs w:val="21"/>
        </w:rPr>
        <w:t>）</w:t>
      </w:r>
      <w:r>
        <w:rPr>
          <w:szCs w:val="21"/>
        </w:rPr>
        <w:t>.</w:t>
      </w:r>
    </w:p>
    <w:p w:rsidR="001C3A4C" w:rsidRDefault="00F208CA">
      <w:pPr>
        <w:rPr>
          <w:szCs w:val="21"/>
        </w:rPr>
      </w:pPr>
      <w:r>
        <w:rPr>
          <w:szCs w:val="21"/>
        </w:rPr>
        <w:t>[4][</w:t>
      </w:r>
      <w:r>
        <w:rPr>
          <w:szCs w:val="21"/>
        </w:rPr>
        <w:t>法</w:t>
      </w:r>
      <w:r>
        <w:rPr>
          <w:szCs w:val="21"/>
        </w:rPr>
        <w:t>]</w:t>
      </w:r>
      <w:r>
        <w:rPr>
          <w:szCs w:val="21"/>
        </w:rPr>
        <w:t>西蒙娜</w:t>
      </w:r>
      <w:r>
        <w:rPr>
          <w:szCs w:val="21"/>
        </w:rPr>
        <w:t>·</w:t>
      </w:r>
      <w:r>
        <w:rPr>
          <w:szCs w:val="21"/>
        </w:rPr>
        <w:t>德</w:t>
      </w:r>
      <w:r>
        <w:rPr>
          <w:szCs w:val="21"/>
        </w:rPr>
        <w:t>·</w:t>
      </w:r>
      <w:r>
        <w:rPr>
          <w:szCs w:val="21"/>
        </w:rPr>
        <w:t>波伏娃著</w:t>
      </w:r>
      <w:r>
        <w:rPr>
          <w:szCs w:val="21"/>
        </w:rPr>
        <w:t>.</w:t>
      </w:r>
      <w:r>
        <w:rPr>
          <w:szCs w:val="21"/>
        </w:rPr>
        <w:t>陶铁柱译</w:t>
      </w:r>
      <w:r>
        <w:rPr>
          <w:szCs w:val="21"/>
        </w:rPr>
        <w:t>.</w:t>
      </w:r>
      <w:r>
        <w:rPr>
          <w:szCs w:val="21"/>
        </w:rPr>
        <w:t>第二性（上）</w:t>
      </w:r>
      <w:r>
        <w:rPr>
          <w:szCs w:val="21"/>
        </w:rPr>
        <w:t>[M].</w:t>
      </w:r>
      <w:r>
        <w:rPr>
          <w:szCs w:val="21"/>
        </w:rPr>
        <w:t>北京：中国书籍出版社，</w:t>
      </w:r>
      <w:r>
        <w:rPr>
          <w:szCs w:val="21"/>
        </w:rPr>
        <w:t>1998.</w:t>
      </w:r>
    </w:p>
    <w:p w:rsidR="001C3A4C" w:rsidRDefault="00F208CA">
      <w:pPr>
        <w:rPr>
          <w:szCs w:val="21"/>
        </w:rPr>
      </w:pPr>
      <w:r>
        <w:rPr>
          <w:szCs w:val="21"/>
        </w:rPr>
        <w:t>[5]</w:t>
      </w:r>
      <w:r>
        <w:rPr>
          <w:szCs w:val="21"/>
        </w:rPr>
        <w:t>马克思恩格斯列宁斯大林论妇女</w:t>
      </w:r>
      <w:r>
        <w:rPr>
          <w:szCs w:val="21"/>
        </w:rPr>
        <w:t>[M].</w:t>
      </w:r>
      <w:r>
        <w:rPr>
          <w:szCs w:val="21"/>
        </w:rPr>
        <w:t>北京：中国妇女出版社，</w:t>
      </w:r>
      <w:r>
        <w:rPr>
          <w:szCs w:val="21"/>
        </w:rPr>
        <w:t>1990.</w:t>
      </w:r>
    </w:p>
    <w:p w:rsidR="001C3A4C" w:rsidRDefault="00F208CA">
      <w:pPr>
        <w:rPr>
          <w:szCs w:val="21"/>
        </w:rPr>
      </w:pPr>
      <w:r>
        <w:rPr>
          <w:szCs w:val="21"/>
        </w:rPr>
        <w:t>[6]</w:t>
      </w:r>
      <w:r>
        <w:rPr>
          <w:szCs w:val="21"/>
        </w:rPr>
        <w:t>邹德芳，邹雯</w:t>
      </w:r>
      <w:r>
        <w:rPr>
          <w:szCs w:val="21"/>
        </w:rPr>
        <w:t>.</w:t>
      </w:r>
      <w:r>
        <w:rPr>
          <w:szCs w:val="21"/>
        </w:rPr>
        <w:t>社会性别视角下高校女教师的发展</w:t>
      </w:r>
      <w:r>
        <w:rPr>
          <w:szCs w:val="21"/>
        </w:rPr>
        <w:t>[J].</w:t>
      </w:r>
      <w:r>
        <w:rPr>
          <w:szCs w:val="21"/>
        </w:rPr>
        <w:t>轻纺工业与技术，</w:t>
      </w:r>
      <w:r>
        <w:rPr>
          <w:szCs w:val="21"/>
        </w:rPr>
        <w:t>2012</w:t>
      </w:r>
      <w:r>
        <w:rPr>
          <w:szCs w:val="21"/>
        </w:rPr>
        <w:t>（</w:t>
      </w:r>
      <w:r>
        <w:rPr>
          <w:szCs w:val="21"/>
        </w:rPr>
        <w:t>03</w:t>
      </w:r>
      <w:r>
        <w:rPr>
          <w:szCs w:val="21"/>
        </w:rPr>
        <w:t>）</w:t>
      </w:r>
      <w:r>
        <w:rPr>
          <w:szCs w:val="21"/>
        </w:rPr>
        <w:t>.</w:t>
      </w:r>
    </w:p>
    <w:p w:rsidR="001C3A4C" w:rsidRDefault="00F208CA">
      <w:pPr>
        <w:rPr>
          <w:szCs w:val="21"/>
        </w:rPr>
      </w:pPr>
      <w:r>
        <w:rPr>
          <w:szCs w:val="21"/>
        </w:rPr>
        <w:t>[7]</w:t>
      </w:r>
      <w:r>
        <w:rPr>
          <w:szCs w:val="21"/>
        </w:rPr>
        <w:t>李银河</w:t>
      </w:r>
      <w:r>
        <w:rPr>
          <w:szCs w:val="21"/>
        </w:rPr>
        <w:t>.</w:t>
      </w:r>
      <w:r>
        <w:rPr>
          <w:szCs w:val="21"/>
        </w:rPr>
        <w:t>妇女最漫长的的革命</w:t>
      </w:r>
      <w:r>
        <w:rPr>
          <w:szCs w:val="21"/>
        </w:rPr>
        <w:t>[M].</w:t>
      </w:r>
      <w:r>
        <w:rPr>
          <w:szCs w:val="21"/>
        </w:rPr>
        <w:t>北京：中国妇女出版社，</w:t>
      </w:r>
      <w:r>
        <w:rPr>
          <w:szCs w:val="21"/>
        </w:rPr>
        <w:t>2007.</w:t>
      </w:r>
    </w:p>
    <w:p w:rsidR="001C3A4C" w:rsidRDefault="00F208CA">
      <w:pPr>
        <w:rPr>
          <w:szCs w:val="21"/>
        </w:rPr>
      </w:pPr>
      <w:r>
        <w:rPr>
          <w:szCs w:val="21"/>
        </w:rPr>
        <w:t>[8]</w:t>
      </w:r>
      <w:r>
        <w:rPr>
          <w:szCs w:val="21"/>
        </w:rPr>
        <w:t>禹旭才</w:t>
      </w:r>
      <w:r>
        <w:rPr>
          <w:szCs w:val="21"/>
        </w:rPr>
        <w:t>.</w:t>
      </w:r>
      <w:r>
        <w:rPr>
          <w:szCs w:val="21"/>
        </w:rPr>
        <w:t>社会性别视角下的高校女教师发展研究</w:t>
      </w:r>
      <w:r>
        <w:rPr>
          <w:szCs w:val="21"/>
        </w:rPr>
        <w:t>[D].</w:t>
      </w:r>
      <w:r>
        <w:rPr>
          <w:szCs w:val="21"/>
        </w:rPr>
        <w:t>长沙：湖南师范大学，</w:t>
      </w:r>
      <w:r>
        <w:rPr>
          <w:szCs w:val="21"/>
        </w:rPr>
        <w:t>2009.</w:t>
      </w:r>
    </w:p>
    <w:p w:rsidR="001C3A4C" w:rsidRDefault="00F208CA">
      <w:pPr>
        <w:rPr>
          <w:szCs w:val="21"/>
        </w:rPr>
      </w:pPr>
      <w:r>
        <w:rPr>
          <w:szCs w:val="21"/>
        </w:rPr>
        <w:t>[9]</w:t>
      </w:r>
      <w:r>
        <w:rPr>
          <w:szCs w:val="21"/>
        </w:rPr>
        <w:t>王宁莲</w:t>
      </w:r>
      <w:r>
        <w:rPr>
          <w:szCs w:val="21"/>
        </w:rPr>
        <w:t>.</w:t>
      </w:r>
      <w:r>
        <w:rPr>
          <w:szCs w:val="21"/>
        </w:rPr>
        <w:t>高校教师性别工资差异影响因素分析</w:t>
      </w:r>
      <w:r>
        <w:rPr>
          <w:szCs w:val="21"/>
        </w:rPr>
        <w:t xml:space="preserve"> ——</w:t>
      </w:r>
      <w:r>
        <w:rPr>
          <w:szCs w:val="21"/>
        </w:rPr>
        <w:t>以某高校为例</w:t>
      </w:r>
      <w:r>
        <w:rPr>
          <w:szCs w:val="21"/>
        </w:rPr>
        <w:t>[D].</w:t>
      </w:r>
      <w:r>
        <w:rPr>
          <w:szCs w:val="21"/>
        </w:rPr>
        <w:t>西安：陕西师范大学，</w:t>
      </w:r>
      <w:r>
        <w:rPr>
          <w:szCs w:val="21"/>
        </w:rPr>
        <w:t>2011.</w:t>
      </w:r>
    </w:p>
    <w:p w:rsidR="001C3A4C" w:rsidRDefault="00F208CA">
      <w:pPr>
        <w:jc w:val="left"/>
        <w:rPr>
          <w:rFonts w:cs="B5+CAJSymbolA"/>
          <w:szCs w:val="21"/>
        </w:rPr>
      </w:pPr>
      <w:r>
        <w:rPr>
          <w:szCs w:val="21"/>
        </w:rPr>
        <w:t>[10]</w:t>
      </w:r>
      <w:r>
        <w:rPr>
          <w:rFonts w:cs="B9+仿宋" w:hint="eastAsia"/>
          <w:szCs w:val="21"/>
        </w:rPr>
        <w:t xml:space="preserve"> </w:t>
      </w:r>
      <w:r>
        <w:rPr>
          <w:rFonts w:cs="B9+仿宋" w:hint="eastAsia"/>
          <w:szCs w:val="21"/>
        </w:rPr>
        <w:t>刘华钢</w:t>
      </w:r>
      <w:r>
        <w:rPr>
          <w:rFonts w:cs="B5+CAJSymbolA" w:hint="eastAsia"/>
          <w:szCs w:val="21"/>
        </w:rPr>
        <w:t>、</w:t>
      </w:r>
      <w:r>
        <w:rPr>
          <w:rFonts w:cs="B9+仿宋" w:hint="eastAsia"/>
          <w:szCs w:val="21"/>
        </w:rPr>
        <w:t>陈媛</w:t>
      </w:r>
      <w:r>
        <w:rPr>
          <w:rFonts w:cs="B5+CAJSymbolA" w:hint="eastAsia"/>
          <w:szCs w:val="21"/>
        </w:rPr>
        <w:t>、</w:t>
      </w:r>
      <w:r>
        <w:rPr>
          <w:rFonts w:cs="B9+仿宋" w:hint="eastAsia"/>
          <w:szCs w:val="21"/>
        </w:rPr>
        <w:t>秦桂秀</w:t>
      </w:r>
      <w:r>
        <w:rPr>
          <w:rFonts w:cs="B5+CAJSymbolA" w:hint="eastAsia"/>
          <w:szCs w:val="21"/>
        </w:rPr>
        <w:t>、</w:t>
      </w:r>
      <w:r>
        <w:rPr>
          <w:rFonts w:cs="B9+仿宋" w:hint="eastAsia"/>
          <w:szCs w:val="21"/>
        </w:rPr>
        <w:t>王萍</w:t>
      </w:r>
      <w:r>
        <w:rPr>
          <w:rFonts w:cs="B5+CAJSymbolA" w:hint="eastAsia"/>
          <w:szCs w:val="21"/>
        </w:rPr>
        <w:t>、</w:t>
      </w:r>
      <w:r>
        <w:rPr>
          <w:rFonts w:cs="B9+仿宋" w:hint="eastAsia"/>
          <w:szCs w:val="21"/>
        </w:rPr>
        <w:t>杨海秀</w:t>
      </w:r>
      <w:r>
        <w:rPr>
          <w:rFonts w:cs="B5+CAJSymbolA" w:hint="eastAsia"/>
          <w:szCs w:val="21"/>
        </w:rPr>
        <w:t>、</w:t>
      </w:r>
      <w:r>
        <w:rPr>
          <w:rFonts w:cs="B9+仿宋" w:hint="eastAsia"/>
          <w:szCs w:val="21"/>
        </w:rPr>
        <w:t>邓砚</w:t>
      </w:r>
      <w:r>
        <w:rPr>
          <w:rFonts w:cs="B9+仿宋" w:hint="eastAsia"/>
          <w:szCs w:val="21"/>
        </w:rPr>
        <w:t>.</w:t>
      </w:r>
      <w:r>
        <w:rPr>
          <w:rFonts w:cs="B8+SimSun" w:hint="eastAsia"/>
          <w:szCs w:val="21"/>
        </w:rPr>
        <w:t>广西高校女教师发展的状况</w:t>
      </w:r>
      <w:r>
        <w:rPr>
          <w:rFonts w:cs="B5+CAJSymbolA"/>
          <w:szCs w:val="21"/>
        </w:rPr>
        <w:t>:</w:t>
      </w:r>
      <w:r>
        <w:rPr>
          <w:rFonts w:cs="B7+楷体" w:hint="eastAsia"/>
          <w:szCs w:val="21"/>
        </w:rPr>
        <w:t>一种社会性别视角的审视与思考</w:t>
      </w:r>
      <w:r>
        <w:rPr>
          <w:szCs w:val="21"/>
        </w:rPr>
        <w:t>[J].</w:t>
      </w:r>
      <w:r>
        <w:rPr>
          <w:szCs w:val="21"/>
        </w:rPr>
        <w:t>高教论坛，</w:t>
      </w:r>
      <w:r>
        <w:rPr>
          <w:szCs w:val="21"/>
        </w:rPr>
        <w:t>2006</w:t>
      </w:r>
      <w:r>
        <w:rPr>
          <w:szCs w:val="21"/>
        </w:rPr>
        <w:t>（</w:t>
      </w:r>
      <w:r>
        <w:rPr>
          <w:szCs w:val="21"/>
        </w:rPr>
        <w:t>04</w:t>
      </w:r>
      <w:r>
        <w:rPr>
          <w:szCs w:val="21"/>
        </w:rPr>
        <w:t>）</w:t>
      </w:r>
      <w:r>
        <w:rPr>
          <w:szCs w:val="21"/>
        </w:rPr>
        <w:t>.</w:t>
      </w:r>
    </w:p>
    <w:p w:rsidR="001C3A4C" w:rsidRDefault="00F208CA">
      <w:pPr>
        <w:rPr>
          <w:szCs w:val="21"/>
        </w:rPr>
      </w:pPr>
      <w:r>
        <w:rPr>
          <w:szCs w:val="21"/>
        </w:rPr>
        <w:t>[11]</w:t>
      </w:r>
      <w:r>
        <w:rPr>
          <w:szCs w:val="21"/>
        </w:rPr>
        <w:t>赖敏</w:t>
      </w:r>
      <w:r>
        <w:rPr>
          <w:szCs w:val="21"/>
        </w:rPr>
        <w:t>.</w:t>
      </w:r>
      <w:r>
        <w:rPr>
          <w:szCs w:val="21"/>
        </w:rPr>
        <w:t>高校教师发展问题思考</w:t>
      </w:r>
      <w:r>
        <w:rPr>
          <w:szCs w:val="21"/>
        </w:rPr>
        <w:t>[J].</w:t>
      </w:r>
      <w:r>
        <w:rPr>
          <w:szCs w:val="21"/>
        </w:rPr>
        <w:t>统计教育，</w:t>
      </w:r>
      <w:r>
        <w:rPr>
          <w:szCs w:val="21"/>
        </w:rPr>
        <w:t>2007</w:t>
      </w:r>
      <w:r>
        <w:rPr>
          <w:szCs w:val="21"/>
        </w:rPr>
        <w:t>（</w:t>
      </w:r>
      <w:r>
        <w:rPr>
          <w:szCs w:val="21"/>
        </w:rPr>
        <w:t>04</w:t>
      </w:r>
      <w:r>
        <w:rPr>
          <w:szCs w:val="21"/>
        </w:rPr>
        <w:t>）</w:t>
      </w:r>
      <w:r>
        <w:rPr>
          <w:szCs w:val="21"/>
        </w:rPr>
        <w:t>.</w:t>
      </w:r>
    </w:p>
    <w:p w:rsidR="001C3A4C" w:rsidRDefault="00F208CA">
      <w:pPr>
        <w:rPr>
          <w:szCs w:val="21"/>
        </w:rPr>
      </w:pPr>
      <w:r>
        <w:rPr>
          <w:szCs w:val="21"/>
        </w:rPr>
        <w:t>[12]</w:t>
      </w:r>
      <w:r>
        <w:rPr>
          <w:szCs w:val="21"/>
        </w:rPr>
        <w:t>马克思恩格斯选集：第</w:t>
      </w:r>
      <w:r>
        <w:rPr>
          <w:szCs w:val="21"/>
        </w:rPr>
        <w:t>4</w:t>
      </w:r>
      <w:r>
        <w:rPr>
          <w:szCs w:val="21"/>
        </w:rPr>
        <w:t>卷</w:t>
      </w:r>
      <w:r>
        <w:rPr>
          <w:szCs w:val="21"/>
        </w:rPr>
        <w:t>[M].</w:t>
      </w:r>
      <w:r>
        <w:rPr>
          <w:szCs w:val="21"/>
        </w:rPr>
        <w:t>北京：人民出版社，</w:t>
      </w:r>
      <w:r>
        <w:rPr>
          <w:szCs w:val="21"/>
        </w:rPr>
        <w:t>1974.</w:t>
      </w:r>
    </w:p>
    <w:p w:rsidR="001C3A4C" w:rsidRDefault="001C3A4C">
      <w:pPr>
        <w:rPr>
          <w:rFonts w:ascii="楷体" w:eastAsia="楷体" w:hAnsi="楷体"/>
          <w:szCs w:val="21"/>
        </w:rPr>
      </w:pPr>
    </w:p>
    <w:p w:rsidR="001C3A4C" w:rsidRDefault="001C3A4C">
      <w:pPr>
        <w:rPr>
          <w:rFonts w:ascii="楷体" w:eastAsia="楷体" w:hAnsi="楷体"/>
          <w:szCs w:val="21"/>
        </w:rPr>
      </w:pPr>
    </w:p>
    <w:p w:rsidR="001C3A4C" w:rsidRDefault="00F208CA">
      <w:pPr>
        <w:rPr>
          <w:rFonts w:ascii="楷体" w:eastAsia="楷体" w:hAnsi="楷体"/>
          <w:szCs w:val="21"/>
        </w:rPr>
      </w:pPr>
      <w:r>
        <w:rPr>
          <w:rFonts w:ascii="楷体" w:eastAsia="楷体" w:hAnsi="楷体" w:hint="eastAsia"/>
          <w:szCs w:val="21"/>
        </w:rPr>
        <w:t>作者简介：上官春晓，女，河南平顶山人，暨南大学马克思主义学院思想政治教育专业</w:t>
      </w:r>
      <w:r>
        <w:rPr>
          <w:rFonts w:ascii="楷体" w:eastAsia="楷体" w:hAnsi="楷体" w:hint="eastAsia"/>
          <w:szCs w:val="21"/>
        </w:rPr>
        <w:t>2014</w:t>
      </w:r>
      <w:r>
        <w:rPr>
          <w:rFonts w:ascii="楷体" w:eastAsia="楷体" w:hAnsi="楷体" w:hint="eastAsia"/>
          <w:szCs w:val="21"/>
        </w:rPr>
        <w:t>级硕士研究生。研究方向：跨文化教育方法研究。</w:t>
      </w:r>
    </w:p>
    <w:p w:rsidR="001C3A4C" w:rsidRDefault="001C3A4C">
      <w:pPr>
        <w:rPr>
          <w:rFonts w:ascii="楷体" w:eastAsia="楷体" w:hAnsi="楷体"/>
          <w:szCs w:val="21"/>
        </w:rPr>
      </w:pPr>
    </w:p>
    <w:p w:rsidR="001C3A4C" w:rsidRDefault="00F208CA">
      <w:pPr>
        <w:rPr>
          <w:rFonts w:ascii="楷体" w:eastAsia="楷体" w:hAnsi="楷体"/>
          <w:szCs w:val="21"/>
        </w:rPr>
      </w:pPr>
      <w:r>
        <w:rPr>
          <w:rFonts w:ascii="楷体" w:eastAsia="楷体" w:hAnsi="楷体" w:hint="eastAsia"/>
          <w:szCs w:val="21"/>
        </w:rPr>
        <w:t>通讯地址：广东省广州市天河区黄埔大道西</w:t>
      </w:r>
      <w:r>
        <w:rPr>
          <w:rFonts w:ascii="楷体" w:eastAsia="楷体" w:hAnsi="楷体" w:hint="eastAsia"/>
          <w:szCs w:val="21"/>
        </w:rPr>
        <w:t>601</w:t>
      </w:r>
      <w:r>
        <w:rPr>
          <w:rFonts w:ascii="楷体" w:eastAsia="楷体" w:hAnsi="楷体" w:hint="eastAsia"/>
          <w:szCs w:val="21"/>
        </w:rPr>
        <w:t>号暨南大学周转楼</w:t>
      </w:r>
      <w:r>
        <w:rPr>
          <w:rFonts w:ascii="楷体" w:eastAsia="楷体" w:hAnsi="楷体" w:hint="eastAsia"/>
          <w:szCs w:val="21"/>
        </w:rPr>
        <w:t>C</w:t>
      </w:r>
      <w:r>
        <w:rPr>
          <w:rFonts w:ascii="楷体" w:eastAsia="楷体" w:hAnsi="楷体" w:hint="eastAsia"/>
          <w:szCs w:val="21"/>
        </w:rPr>
        <w:t>栋上官春晓收</w:t>
      </w:r>
    </w:p>
    <w:p w:rsidR="001C3A4C" w:rsidRDefault="001C3A4C">
      <w:pPr>
        <w:rPr>
          <w:sz w:val="24"/>
          <w:szCs w:val="24"/>
        </w:rPr>
      </w:pPr>
    </w:p>
    <w:sectPr w:rsidR="001C3A4C" w:rsidSect="001C3A4C">
      <w:endnotePr>
        <w:numFmt w:val="decimal"/>
      </w:endnotePr>
      <w:pgSz w:w="11906" w:h="16838"/>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08CA" w:rsidRDefault="00F208CA" w:rsidP="001C3A4C">
      <w:r>
        <w:separator/>
      </w:r>
    </w:p>
  </w:endnote>
  <w:endnote w:type="continuationSeparator" w:id="0">
    <w:p w:rsidR="00F208CA" w:rsidRDefault="00F208CA" w:rsidP="001C3A4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微软雅黑"/>
    <w:panose1 w:val="02010600030101010101"/>
    <w:charset w:val="86"/>
    <w:family w:val="modern"/>
    <w:notTrueType/>
    <w:pitch w:val="fixed"/>
    <w:sig w:usb0="00000000"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楷体">
    <w:altName w:val="MS Gothic"/>
    <w:charset w:val="86"/>
    <w:family w:val="modern"/>
    <w:pitch w:val="default"/>
    <w:sig w:usb0="00000000" w:usb1="00000000" w:usb2="00000000" w:usb3="00000000" w:csb0="00000000" w:csb1="00000000"/>
  </w:font>
  <w:font w:name="B3+CAJSymbolA">
    <w:charset w:val="86"/>
    <w:family w:val="auto"/>
    <w:pitch w:val="default"/>
    <w:sig w:usb0="00000000" w:usb1="00000000" w:usb2="00000000" w:usb3="00000000" w:csb0="00000000" w:csb1="00000000"/>
  </w:font>
  <w:font w:name="B5+CAJSymbolA">
    <w:charset w:val="86"/>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B9+仿宋">
    <w:charset w:val="86"/>
    <w:family w:val="auto"/>
    <w:pitch w:val="default"/>
    <w:sig w:usb0="00000000" w:usb1="00000000" w:usb2="00000000" w:usb3="00000000" w:csb0="00000000" w:csb1="00000000"/>
  </w:font>
  <w:font w:name="B8+SimSun">
    <w:charset w:val="86"/>
    <w:family w:val="auto"/>
    <w:pitch w:val="default"/>
    <w:sig w:usb0="00000000" w:usb1="00000000" w:usb2="00000000" w:usb3="00000000" w:csb0="00000000" w:csb1="00000000"/>
  </w:font>
  <w:font w:name="B7+楷体">
    <w:charset w:val="86"/>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08CA" w:rsidRDefault="00F208CA" w:rsidP="001C3A4C">
      <w:r>
        <w:separator/>
      </w:r>
    </w:p>
  </w:footnote>
  <w:footnote w:type="continuationSeparator" w:id="0">
    <w:p w:rsidR="00F208CA" w:rsidRDefault="00F208CA" w:rsidP="001C3A4C">
      <w:r>
        <w:continuationSeparator/>
      </w:r>
    </w:p>
  </w:footnote>
  <w:footnote w:id="1">
    <w:p w:rsidR="001C3A4C" w:rsidRDefault="00F208CA">
      <w:r>
        <w:t>*</w:t>
      </w:r>
      <w:r>
        <w:t>本文为暨南大学</w:t>
      </w:r>
      <w:r>
        <w:t>2015</w:t>
      </w:r>
      <w:r>
        <w:t>年度广东高校女性发展研究专项课题《高校女性文化行为动力的社会生态与定位研究》（项目编号：</w:t>
      </w:r>
      <w:r>
        <w:t>JDNFY001</w:t>
      </w:r>
      <w:r>
        <w:t>）的阶段性研究成果。</w:t>
      </w:r>
    </w:p>
    <w:p w:rsidR="001C3A4C" w:rsidRDefault="00F208CA">
      <w:r>
        <w:rPr>
          <w:rFonts w:ascii="Symbol" w:hAnsi="Symbol"/>
        </w:rPr>
        <w:t></w:t>
      </w:r>
      <w:r>
        <w:t>作者简介：上官春晓（</w:t>
      </w:r>
      <w:r>
        <w:t>1990—</w:t>
      </w:r>
      <w:r>
        <w:t>），女，河南平顶山人，暨南大学马克思主义学院硕士研究生。研究方向：跨文化教育方法研究</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40A11"/>
    <w:multiLevelType w:val="singleLevel"/>
    <w:tmpl w:val="E2FEBE80"/>
    <w:name w:val="Bullet 4"/>
    <w:lvl w:ilvl="0">
      <w:start w:val="1"/>
      <w:numFmt w:val="decimal"/>
      <w:lvlText w:val="%1"/>
      <w:lvlJc w:val="left"/>
      <w:pPr>
        <w:tabs>
          <w:tab w:val="num" w:pos="0"/>
        </w:tabs>
        <w:ind w:left="0" w:firstLine="0"/>
      </w:pPr>
    </w:lvl>
  </w:abstractNum>
  <w:abstractNum w:abstractNumId="1">
    <w:nsid w:val="0FDB6B31"/>
    <w:multiLevelType w:val="multilevel"/>
    <w:tmpl w:val="FBB2A62A"/>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2">
    <w:nsid w:val="154A627B"/>
    <w:multiLevelType w:val="singleLevel"/>
    <w:tmpl w:val="A2EA584C"/>
    <w:name w:val="Bullet 1"/>
    <w:lvl w:ilvl="0">
      <w:start w:val="1"/>
      <w:numFmt w:val="japaneseCounting"/>
      <w:lvlText w:val="%1"/>
      <w:lvlJc w:val="left"/>
      <w:pPr>
        <w:tabs>
          <w:tab w:val="num" w:pos="0"/>
        </w:tabs>
        <w:ind w:left="0" w:firstLine="0"/>
      </w:pPr>
    </w:lvl>
  </w:abstractNum>
  <w:abstractNum w:abstractNumId="3">
    <w:nsid w:val="56221635"/>
    <w:multiLevelType w:val="singleLevel"/>
    <w:tmpl w:val="51E41D0E"/>
    <w:name w:val="Bullet 2"/>
    <w:lvl w:ilvl="0">
      <w:start w:val="1"/>
      <w:numFmt w:val="lowerLetter"/>
      <w:lvlText w:val="%1"/>
      <w:lvlJc w:val="left"/>
      <w:pPr>
        <w:tabs>
          <w:tab w:val="num" w:pos="0"/>
        </w:tabs>
        <w:ind w:left="0" w:firstLine="0"/>
      </w:pPr>
    </w:lvl>
  </w:abstractNum>
  <w:abstractNum w:abstractNumId="4">
    <w:nsid w:val="7A804056"/>
    <w:multiLevelType w:val="singleLevel"/>
    <w:tmpl w:val="EEAA709A"/>
    <w:name w:val="Bullet 3"/>
    <w:lvl w:ilvl="0">
      <w:start w:val="1"/>
      <w:numFmt w:val="lowerRoman"/>
      <w:lvlText w:val="%1"/>
      <w:lvlJc w:val="left"/>
      <w:pPr>
        <w:tabs>
          <w:tab w:val="num" w:pos="0"/>
        </w:tabs>
        <w:ind w:left="0" w:firstLine="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0"/>
  <w:drawingGridVerticalSpacing w:val="156"/>
  <w:characterSpacingControl w:val="doNotCompress"/>
  <w:footnotePr>
    <w:footnote w:id="-1"/>
    <w:footnote w:id="0"/>
  </w:footnotePr>
  <w:endnotePr>
    <w:numFmt w:val="decimal"/>
    <w:endnote w:id="-1"/>
    <w:endnote w:id="0"/>
  </w:endnotePr>
  <w:compat>
    <w:doNotExpandShiftReturn/>
    <w:useFELayout/>
  </w:compat>
  <w:rsids>
    <w:rsidRoot w:val="001C3A4C"/>
    <w:rsid w:val="001C3A4C"/>
    <w:rsid w:val="00672262"/>
    <w:rsid w:val="00F208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kern w:val="1"/>
        <w:sz w:val="21"/>
        <w:szCs w:val="22"/>
        <w:lang w:val="en-US" w:eastAsia="zh-CN"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default="1" w:styleId="a">
    <w:name w:val="Normal"/>
    <w:qFormat/>
    <w:rsid w:val="001C3A4C"/>
  </w:style>
  <w:style w:type="paragraph" w:styleId="1">
    <w:name w:val="heading 1"/>
    <w:qFormat/>
    <w:rsid w:val="001C3A4C"/>
    <w:pPr>
      <w:keepNext/>
      <w:keepLines/>
      <w:spacing w:before="340" w:after="330" w:line="578" w:lineRule="auto"/>
      <w:outlineLvl w:val="0"/>
    </w:pPr>
    <w:rPr>
      <w:b/>
      <w:bCs/>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
    <w:name w:val="Header"/>
    <w:qFormat/>
    <w:rsid w:val="001C3A4C"/>
    <w:pPr>
      <w:pBdr>
        <w:top w:val="none" w:sz="0" w:space="3" w:color="000000"/>
        <w:left w:val="none" w:sz="0" w:space="3" w:color="000000"/>
        <w:bottom w:val="single" w:sz="6" w:space="1" w:color="000000"/>
        <w:right w:val="none" w:sz="0" w:space="3" w:color="000000"/>
        <w:between w:val="none" w:sz="0" w:space="0" w:color="000000"/>
      </w:pBdr>
      <w:tabs>
        <w:tab w:val="center" w:pos="4153"/>
        <w:tab w:val="right" w:pos="8306"/>
      </w:tabs>
      <w:jc w:val="center"/>
    </w:pPr>
    <w:rPr>
      <w:sz w:val="18"/>
      <w:szCs w:val="18"/>
    </w:rPr>
  </w:style>
  <w:style w:type="paragraph" w:customStyle="1" w:styleId="Footer">
    <w:name w:val="Footer"/>
    <w:qFormat/>
    <w:rsid w:val="001C3A4C"/>
    <w:pPr>
      <w:tabs>
        <w:tab w:val="center" w:pos="4153"/>
        <w:tab w:val="right" w:pos="8306"/>
      </w:tabs>
      <w:jc w:val="left"/>
    </w:pPr>
    <w:rPr>
      <w:sz w:val="18"/>
      <w:szCs w:val="18"/>
    </w:rPr>
  </w:style>
  <w:style w:type="paragraph" w:styleId="a3">
    <w:name w:val="List Paragraph"/>
    <w:qFormat/>
    <w:rsid w:val="001C3A4C"/>
    <w:pPr>
      <w:ind w:firstLine="420"/>
    </w:pPr>
  </w:style>
  <w:style w:type="paragraph" w:styleId="a4">
    <w:name w:val="Balloon Text"/>
    <w:qFormat/>
    <w:rsid w:val="001C3A4C"/>
    <w:rPr>
      <w:sz w:val="18"/>
      <w:szCs w:val="18"/>
    </w:rPr>
  </w:style>
  <w:style w:type="paragraph" w:customStyle="1" w:styleId="10">
    <w:name w:val="批注文字1"/>
    <w:qFormat/>
    <w:rsid w:val="001C3A4C"/>
    <w:pPr>
      <w:jc w:val="left"/>
    </w:pPr>
  </w:style>
  <w:style w:type="paragraph" w:customStyle="1" w:styleId="11">
    <w:name w:val="批注主题1"/>
    <w:basedOn w:val="10"/>
    <w:next w:val="10"/>
    <w:qFormat/>
    <w:rsid w:val="001C3A4C"/>
    <w:rPr>
      <w:b/>
      <w:bCs/>
    </w:rPr>
  </w:style>
  <w:style w:type="paragraph" w:customStyle="1" w:styleId="FootnoteText">
    <w:name w:val="Footnote Text"/>
    <w:qFormat/>
    <w:rsid w:val="001C3A4C"/>
    <w:pPr>
      <w:jc w:val="left"/>
    </w:pPr>
    <w:rPr>
      <w:sz w:val="18"/>
      <w:szCs w:val="18"/>
    </w:rPr>
  </w:style>
  <w:style w:type="character" w:customStyle="1" w:styleId="Char">
    <w:name w:val="页眉 Char"/>
    <w:rsid w:val="001C3A4C"/>
    <w:rPr>
      <w:sz w:val="18"/>
      <w:szCs w:val="18"/>
    </w:rPr>
  </w:style>
  <w:style w:type="character" w:customStyle="1" w:styleId="Char0">
    <w:name w:val="页脚 Char"/>
    <w:rsid w:val="001C3A4C"/>
    <w:rPr>
      <w:sz w:val="18"/>
      <w:szCs w:val="18"/>
    </w:rPr>
  </w:style>
  <w:style w:type="character" w:customStyle="1" w:styleId="Char1">
    <w:name w:val="批注框文本 Char"/>
    <w:rsid w:val="001C3A4C"/>
    <w:rPr>
      <w:sz w:val="18"/>
      <w:szCs w:val="18"/>
    </w:rPr>
  </w:style>
  <w:style w:type="character" w:customStyle="1" w:styleId="1Char">
    <w:name w:val="标题 1 Char"/>
    <w:rsid w:val="001C3A4C"/>
    <w:rPr>
      <w:b/>
      <w:bCs/>
      <w:kern w:val="1"/>
      <w:sz w:val="44"/>
      <w:szCs w:val="44"/>
    </w:rPr>
  </w:style>
  <w:style w:type="character" w:customStyle="1" w:styleId="12">
    <w:name w:val="批注引用1"/>
    <w:rsid w:val="001C3A4C"/>
    <w:rPr>
      <w:sz w:val="21"/>
      <w:szCs w:val="21"/>
    </w:rPr>
  </w:style>
  <w:style w:type="character" w:customStyle="1" w:styleId="Char2">
    <w:name w:val="批注文字 Char"/>
    <w:rsid w:val="001C3A4C"/>
  </w:style>
  <w:style w:type="character" w:customStyle="1" w:styleId="Char3">
    <w:name w:val="批注主题 Char"/>
    <w:basedOn w:val="Char2"/>
    <w:rsid w:val="001C3A4C"/>
    <w:rPr>
      <w:b/>
      <w:bCs/>
    </w:rPr>
  </w:style>
  <w:style w:type="character" w:customStyle="1" w:styleId="Char4">
    <w:name w:val="脚注文本 Char"/>
    <w:rsid w:val="001C3A4C"/>
    <w:rPr>
      <w:sz w:val="18"/>
      <w:szCs w:val="18"/>
    </w:rPr>
  </w:style>
  <w:style w:type="character" w:customStyle="1" w:styleId="FootnoteReference">
    <w:name w:val="Footnote Reference"/>
    <w:rsid w:val="001C3A4C"/>
    <w:rPr>
      <w:vertAlign w:val="superscript"/>
    </w:rPr>
  </w:style>
  <w:style w:type="character" w:styleId="a5">
    <w:name w:val="Hyperlink"/>
    <w:rsid w:val="001C3A4C"/>
    <w:rPr>
      <w:color w:val="0000FF"/>
      <w:u w:val="single"/>
    </w:rPr>
  </w:style>
  <w:style w:type="character" w:styleId="a6">
    <w:name w:val="FollowedHyperlink"/>
    <w:rsid w:val="001C3A4C"/>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docDefaults>
    <w:rPrDefault>
      <w:rPr>
        <w:rFonts w:ascii="Calibri" w:hAnsi="Calibri" w:eastAsia="Calibri" w:cs="Times New Roman"/>
        <w:kern w:val="1"/>
        <w:sz w:val="21"/>
        <w:szCs w:val="22"/>
        <w:lang w:val="en-us" w:eastAsia="zh-cn" w:bidi="ar-sa"/>
      </w:rPr>
    </w:rPrDefault>
    <w:pPrDefault>
      <w:pPr>
        <w:spacing/>
        <w:jc w:val="both"/>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paragraph" w:styleId="1">
    <w:name w:val="heading 1"/>
    <w:qFormat/>
    <w:basedOn w:val=""/>
    <w:next w:val=""/>
    <w:pPr>
      <w:spacing w:before="340" w:after="330" w:line="578" w:lineRule="auto"/>
      <w:keepNext/>
      <w:outlineLvl w:val="0"/>
      <w:keepLines/>
    </w:pPr>
    <w:rPr>
      <w:b/>
      <w:bCs/>
      <w:sz w:val="44"/>
      <w:szCs w:val="44"/>
    </w:rPr>
  </w:style>
  <w:style w:type="paragraph" w:styleId="">
    <w:name w:val="Header"/>
    <w:qFormat/>
    <w:basedOn w:val=""/>
    <w:pPr>
      <w:spacing/>
      <w:jc w:val="center"/>
      <w:tabs>
        <w:tab w:val="center" w:pos="4153" w:leader="none"/>
        <w:tab w:val="right" w:pos="8306" w:leader="none"/>
      </w:tabs>
      <w:pBdr>
        <w:top w:val="none" w:sz="0" w:space="3" w:color="000000"/>
        <w:left w:val="none" w:sz="0" w:space="3" w:color="000000"/>
        <w:bottom w:val="single" w:sz="6" w:space="1" w:color="000000"/>
        <w:right w:val="none" w:sz="0" w:space="3" w:color="000000"/>
        <w:between w:val="none" w:sz="0" w:space="0" w:color="000000"/>
      </w:pBdr>
      <w:shd w:val="none"/>
    </w:pPr>
    <w:rPr>
      <w:sz w:val="18"/>
      <w:szCs w:val="18"/>
    </w:rPr>
  </w:style>
  <w:style w:type="paragraph" w:styleId="">
    <w:name w:val="Footer"/>
    <w:qFormat/>
    <w:basedOn w:val=""/>
    <w:pPr>
      <w:spacing/>
      <w:jc w:val="left"/>
      <w:tabs>
        <w:tab w:val="center" w:pos="4153" w:leader="none"/>
        <w:tab w:val="right" w:pos="8306" w:leader="none"/>
      </w:tabs>
    </w:pPr>
    <w:rPr>
      <w:sz w:val="18"/>
      <w:szCs w:val="18"/>
    </w:rPr>
  </w:style>
  <w:style w:type="paragraph" w:styleId="">
    <w:name w:val="List Paragraph"/>
    <w:qFormat/>
    <w:basedOn w:val=""/>
    <w:pPr>
      <w:ind w:firstLine="420"/>
    </w:pPr>
  </w:style>
  <w:style w:type="paragraph" w:styleId="">
    <w:name w:val="Balloon Text"/>
    <w:qFormat/>
    <w:basedOn w:val=""/>
    <w:rPr>
      <w:sz w:val="18"/>
      <w:szCs w:val="18"/>
    </w:rPr>
  </w:style>
  <w:style w:type="paragraph" w:styleId="annotationtext" w:customStyle="1">
    <w:name w:val="annotation text"/>
    <w:qFormat/>
    <w:basedOn w:val=""/>
    <w:pPr>
      <w:spacing/>
      <w:jc w:val="left"/>
    </w:pPr>
  </w:style>
  <w:style w:type="paragraph" w:styleId="annotationsubject" w:customStyle="1">
    <w:name w:val="annotation subject"/>
    <w:qFormat/>
    <w:basedOn w:val="annotationtext"/>
    <w:next w:val="annotationtext"/>
    <w:rPr>
      <w:b/>
      <w:bCs/>
    </w:rPr>
  </w:style>
  <w:style w:type="paragraph" w:styleId="">
    <w:name w:val="Footnote Text"/>
    <w:qFormat/>
    <w:basedOn w:val=""/>
    <w:pPr>
      <w:spacing/>
      <w:jc w:val="left"/>
    </w:pPr>
    <w:rPr>
      <w:sz w:val="18"/>
      <w:szCs w:val="18"/>
    </w:rPr>
  </w:style>
  <w:style w:type="character" w:styleId="" w:default="1">
    <w:name w:val="Default Paragraph Font"/>
  </w:style>
  <w:style w:type="character" w:styleId="Char" w:customStyle="1">
    <w:name w:val="页眉 Char"/>
    <w:basedOn w:val=""/>
    <w:rPr>
      <w:sz w:val="18"/>
      <w:szCs w:val="18"/>
    </w:rPr>
  </w:style>
  <w:style w:type="character" w:styleId="Char" w:customStyle="1">
    <w:name w:val="页脚 Char"/>
    <w:basedOn w:val=""/>
    <w:rPr>
      <w:sz w:val="18"/>
      <w:szCs w:val="18"/>
    </w:rPr>
  </w:style>
  <w:style w:type="character" w:styleId="Char" w:customStyle="1">
    <w:name w:val="批注框文本 Char"/>
    <w:basedOn w:val=""/>
    <w:rPr>
      <w:sz w:val="18"/>
      <w:szCs w:val="18"/>
    </w:rPr>
  </w:style>
  <w:style w:type="character" w:styleId="1Char" w:customStyle="1">
    <w:name w:val="标题 1 Char"/>
    <w:basedOn w:val=""/>
    <w:rPr>
      <w:b/>
      <w:bCs/>
      <w:kern w:val="1"/>
      <w:sz w:val="44"/>
      <w:szCs w:val="44"/>
    </w:rPr>
  </w:style>
  <w:style w:type="character" w:styleId="annotationreference" w:customStyle="1">
    <w:name w:val="annotation reference"/>
    <w:basedOn w:val=""/>
    <w:rPr>
      <w:sz w:val="21"/>
      <w:szCs w:val="21"/>
    </w:rPr>
  </w:style>
  <w:style w:type="character" w:styleId="Char" w:customStyle="1">
    <w:name w:val="批注文字 Char"/>
    <w:basedOn w:val=""/>
  </w:style>
  <w:style w:type="character" w:styleId="Char" w:customStyle="1">
    <w:name w:val="批注主题 Char"/>
    <w:basedOn w:val="Char"/>
    <w:rPr>
      <w:b/>
      <w:bCs/>
    </w:rPr>
  </w:style>
  <w:style w:type="character" w:styleId="Char" w:customStyle="1">
    <w:name w:val="脚注文本 Char"/>
    <w:basedOn w:val=""/>
    <w:rPr>
      <w:sz w:val="18"/>
      <w:szCs w:val="18"/>
    </w:rPr>
  </w:style>
  <w:style w:type="character" w:styleId="">
    <w:name w:val="Footnote Reference"/>
    <w:basedOn w:val=""/>
    <w:rPr>
      <w:vertAlign w:val="superscript"/>
    </w:rPr>
  </w:style>
  <w:style w:type="character" w:styleId="">
    <w:name w:val="Hyperlink"/>
    <w:basedOn w:val=""/>
    <w:rPr>
      <w:color w:val="0000ff"/>
      <w:u w:color="auto" w:val="single"/>
    </w:rPr>
  </w:style>
  <w:style w:type="character" w:styleId="">
    <w:name w:val="FollowedHyperlink"/>
    <w:basedOn w:val=""/>
    <w:rPr>
      <w:color w:val="800080"/>
      <w:u w:color="auto"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oe.gov.cn/s78/A03/moe_560/jytjsj&#65292;2015.7.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黑体"/>
        <a:cs typeface="Times New Roman"/>
      </a:majorFont>
      <a:minorFont>
        <a:latin typeface="Calibri"/>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1359</Words>
  <Characters>7751</Characters>
  <Application>Microsoft Office Word</Application>
  <DocSecurity>0</DocSecurity>
  <Lines>64</Lines>
  <Paragraphs>18</Paragraphs>
  <ScaleCrop>false</ScaleCrop>
  <Company/>
  <LinksUpToDate>false</LinksUpToDate>
  <CharactersWithSpaces>9092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2</cp:revision>
  <dcterms:created xsi:type="dcterms:W3CDTF">2017-10-17T08:37:00Z</dcterms:created>
  <dcterms:modified xsi:type="dcterms:W3CDTF">2017-10-17T08:37:00Z</dcterms:modified>
</cp:coreProperties>
</file>