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Cambria" w:hAnsi="Cambria" w:eastAsia="Cambria"/>
          <w:b/>
          <w:sz w:val="30"/>
          <w:szCs w:val="30"/>
        </w:rPr>
      </w:pPr>
      <w:r>
        <w:rPr>
          <w:rFonts w:hint="eastAsia" w:ascii="Cambria" w:hAnsi="Cambria" w:eastAsia="Cambria"/>
          <w:b/>
          <w:sz w:val="30"/>
          <w:szCs w:val="30"/>
        </w:rPr>
        <w:t>PHC桩在地铁车辆段老黏土地层设计施工主要技术问题探讨</w:t>
      </w:r>
    </w:p>
    <w:p>
      <w:pPr>
        <w:sectPr>
          <w:headerReference r:id="rId3" w:type="default"/>
          <w:footnotePr>
            <w:numFmt w:val="decimal"/>
          </w:footnotePr>
          <w:endnotePr>
            <w:numFmt w:val="decimal"/>
          </w:endnotePr>
          <w:pgSz w:w="11906" w:h="16838"/>
          <w:pgMar w:top="1440" w:right="1800" w:bottom="1440" w:left="1800" w:header="851" w:footer="720" w:gutter="0"/>
          <w:paperSrc/>
        </w:sectPr>
      </w:pPr>
    </w:p>
    <w:p>
      <w:pPr>
        <w:spacing w:line="360" w:lineRule="auto"/>
        <w:ind w:firstLine="480"/>
        <w:jc w:val="center"/>
        <w:rPr>
          <w:sz w:val="24"/>
          <w:szCs w:val="24"/>
        </w:rPr>
      </w:pPr>
      <w:r>
        <w:rPr>
          <w:sz w:val="24"/>
          <w:szCs w:val="24"/>
        </w:rPr>
        <w:t>张旭生</w:t>
      </w:r>
    </w:p>
    <w:p>
      <w:pPr>
        <w:spacing w:line="360" w:lineRule="auto"/>
        <w:ind w:firstLine="420"/>
        <w:jc w:val="center"/>
        <w:rPr>
          <w:rFonts w:ascii="宋体" w:hAnsi="宋体" w:eastAsia="宋体"/>
        </w:rPr>
      </w:pPr>
      <w:r>
        <w:rPr>
          <w:rFonts w:ascii="宋体" w:hAnsi="宋体" w:eastAsia="宋体"/>
        </w:rPr>
        <w:t>（</w:t>
      </w:r>
      <w:r>
        <w:rPr>
          <w:rFonts w:hint="eastAsia" w:ascii="宋体" w:hAnsi="宋体" w:eastAsia="宋体"/>
        </w:rPr>
        <w:t>中铁武汉勘察设计研究院有限公司</w:t>
      </w:r>
      <w:r>
        <w:rPr>
          <w:rFonts w:ascii="宋体" w:hAnsi="宋体" w:eastAsia="宋体"/>
        </w:rPr>
        <w:t>，</w:t>
      </w:r>
      <w:r>
        <w:rPr>
          <w:rFonts w:hint="eastAsia" w:ascii="宋体" w:hAnsi="宋体" w:eastAsia="宋体"/>
        </w:rPr>
        <w:t>武汉  430074</w:t>
      </w:r>
      <w:r>
        <w:rPr>
          <w:rFonts w:ascii="宋体" w:hAnsi="宋体" w:eastAsia="宋体"/>
        </w:rPr>
        <w:t>）</w:t>
      </w:r>
    </w:p>
    <w:p>
      <w:pPr>
        <w:sectPr>
          <w:footnotePr>
            <w:numFmt w:val="decimal"/>
          </w:footnotePr>
          <w:endnotePr>
            <w:numFmt w:val="decimal"/>
          </w:endnotePr>
          <w:type w:val="continuous"/>
          <w:pgSz w:w="11906" w:h="16838"/>
          <w:pgMar w:top="1440" w:right="1800" w:bottom="1440" w:left="1800" w:header="720" w:footer="720" w:gutter="0"/>
          <w:paperSrc/>
        </w:sectPr>
      </w:pPr>
    </w:p>
    <w:p>
      <w:pPr>
        <w:spacing w:line="360" w:lineRule="auto"/>
        <w:ind w:firstLine="361"/>
        <w:rPr>
          <w:sz w:val="18"/>
          <w:szCs w:val="18"/>
        </w:rPr>
      </w:pPr>
      <w:r>
        <w:rPr>
          <w:b/>
          <w:bCs/>
          <w:sz w:val="18"/>
          <w:szCs w:val="18"/>
        </w:rPr>
        <w:t>摘 要：</w:t>
      </w:r>
      <w:r>
        <w:rPr>
          <w:bCs/>
          <w:sz w:val="18"/>
          <w:szCs w:val="18"/>
        </w:rPr>
        <w:t>通过对武汉地铁5号线工人村车辆段老粘土地层中高强预应力</w:t>
      </w:r>
      <w:r>
        <w:rPr>
          <w:sz w:val="18"/>
          <w:szCs w:val="18"/>
        </w:rPr>
        <w:t>管桩设计施工中存在的主要问题的研究，系统的总结了老黏土特有的岩土特性并对引起施工质量问题的原因进行了分析，提出了老黏土地区管桩的设计、施工的技术措施及质量事故预防处理的办法，可以为管桩在老黏土地层中的应用提供一些经验。</w:t>
      </w:r>
      <w:r>
        <w:rPr>
          <w:sz w:val="18"/>
          <w:szCs w:val="18"/>
        </w:rPr>
        <w:br w:type="textWrapping"/>
      </w:r>
      <w:r>
        <w:rPr>
          <w:b/>
          <w:bCs/>
          <w:sz w:val="18"/>
          <w:szCs w:val="18"/>
        </w:rPr>
        <w:t>　 关键词：</w:t>
      </w:r>
      <w:r>
        <w:rPr>
          <w:sz w:val="18"/>
          <w:szCs w:val="18"/>
        </w:rPr>
        <w:t>PHC管桩；老黏土地层；岩土特性；挤土效应；单桩承载力； 承载力时效性</w:t>
      </w:r>
    </w:p>
    <w:p>
      <w:pPr>
        <w:sectPr>
          <w:footnotePr>
            <w:numFmt w:val="decimal"/>
          </w:footnotePr>
          <w:endnotePr>
            <w:numFmt w:val="decimal"/>
          </w:endnotePr>
          <w:type w:val="continuous"/>
          <w:pgSz w:w="11906" w:h="16838"/>
          <w:pgMar w:top="1440" w:right="1800" w:bottom="1440" w:left="1800" w:header="720" w:footer="720" w:gutter="0"/>
          <w:paperSrc/>
        </w:sectPr>
      </w:pPr>
    </w:p>
    <w:p>
      <w:pPr>
        <w:spacing w:line="360" w:lineRule="auto"/>
        <w:ind w:firstLine="360"/>
        <w:rPr>
          <w:sz w:val="18"/>
          <w:szCs w:val="18"/>
        </w:rPr>
      </w:pPr>
    </w:p>
    <w:p>
      <w:pPr>
        <w:sectPr>
          <w:footnotePr>
            <w:numFmt w:val="decimal"/>
          </w:footnotePr>
          <w:endnotePr>
            <w:numFmt w:val="decimal"/>
          </w:endnotePr>
          <w:type w:val="continuous"/>
          <w:pgSz w:w="11906" w:h="16838"/>
          <w:pgMar w:top="1440" w:right="1800" w:bottom="1440" w:left="1800" w:header="720" w:footer="720" w:gutter="0"/>
          <w:paperSrc/>
        </w:sectPr>
      </w:pPr>
    </w:p>
    <w:p>
      <w:pPr>
        <w:spacing w:line="360" w:lineRule="auto"/>
        <w:ind w:firstLine="422"/>
        <w:rPr>
          <w:b/>
          <w:bCs/>
        </w:rPr>
      </w:pPr>
      <w:r>
        <w:rPr>
          <w:b/>
          <w:bCs/>
        </w:rPr>
        <w:t>0引言</w:t>
      </w:r>
    </w:p>
    <w:p>
      <w:pPr>
        <w:spacing w:line="360" w:lineRule="auto"/>
        <w:ind w:firstLine="420"/>
      </w:pPr>
      <w:r>
        <w:t>预应力混凝土管桩在我国最先在广东和上海等沿海经济发达、软土分布广泛的地区推广应用。管桩具有工业规模化生产、质量易于保障、单桩承载力高、对工程地质条件适应性强、施工速度快、现场无污染等优点，随着经济的发展和工程建设规模的扩大已逐步应用于我国大部分地区。然而我国地域辽阔工程建设所遇到的地质情况复杂，使得预应力混凝土管桩在各种地质情况下的应用面临着各种问题。预应力管桩在老黏土地层中的应用理论研究远落后于工程实践，在老黏土地区的应用过程中遇到一系列的技术问题。</w:t>
      </w:r>
    </w:p>
    <w:p>
      <w:pPr>
        <w:spacing w:line="360" w:lineRule="auto"/>
        <w:ind w:firstLine="420"/>
      </w:pPr>
      <w:r>
        <w:t>本文对老黏土地层PHC桩设计、施工及质量保证措施等问题通过查阅文献、现场</w:t>
      </w:r>
      <w:bookmarkStart w:id="0" w:name="_GoBack"/>
      <w:bookmarkEnd w:id="0"/>
    </w:p>
    <w:p>
      <w:pPr>
        <w:spacing w:line="360" w:lineRule="auto"/>
      </w:pPr>
      <w:r>
        <w:t>土工试验等方法，结合地铁车辆段的工程实际提出了一些解决办法。</w:t>
      </w:r>
    </w:p>
    <w:p>
      <w:pPr>
        <w:spacing w:line="360" w:lineRule="auto"/>
        <w:ind w:firstLine="422"/>
      </w:pPr>
      <w:r>
        <w:rPr>
          <w:b/>
          <w:bCs/>
        </w:rPr>
        <w:t>1  工程概况</w:t>
      </w:r>
    </w:p>
    <w:p>
      <w:pPr>
        <w:spacing w:line="360" w:lineRule="auto"/>
        <w:ind w:firstLine="420"/>
      </w:pPr>
      <w:r>
        <w:t>武汉市轨道交通5号线位于武汉长江南岸，南北向贯穿武昌全镇，是武汉轨道交通主干线。属于沟通沿江方向的重要客运交通走廊。</w:t>
      </w:r>
    </w:p>
    <w:p>
      <w:pPr>
        <w:spacing w:line="360" w:lineRule="auto"/>
        <w:ind w:firstLine="420"/>
      </w:pPr>
      <w:r>
        <w:t>线路全长33.59km，其中地下线长25.33km，过渡段长0.29km，高架线长7.97km，沿线设站26座，其中高架站6座，地下站20座，换乘站10座。最大站间距2251m；最小站间距为598.7m，平均站间距为1323m。</w:t>
      </w:r>
    </w:p>
    <w:p>
      <w:pPr>
        <w:spacing w:line="360" w:lineRule="auto"/>
        <w:ind w:firstLine="420"/>
      </w:pPr>
      <w:r>
        <w:t>5号线工程全线设车辆段和停车场各一处，其中工人村车辆段位于线路北端工人村</w:t>
      </w:r>
    </w:p>
    <w:p>
      <w:pPr>
        <w:spacing w:line="360" w:lineRule="auto"/>
      </w:pPr>
      <w:r>
        <w:t>路东侧地块，与都市工业园站接轨。工人村车辆段位于建设十一路都市工业园站东北侧，以车辆段用地红线为界，整体呈一不规则的三角形，面积约29.23万m</w:t>
      </w:r>
      <w:r>
        <w:rPr>
          <w:vertAlign w:val="superscript"/>
        </w:rPr>
        <w:t>2</w:t>
      </w:r>
      <w:r>
        <w:t>，北临工人村路，东临二十一号公路，南邻武钢石化专用线。车辆段设计内容主要为地上建筑物主要包括停车列检库、调机工程车库、检修库、牵引降压混合变电所、综合维修车间、物资总库、洗车机库、镟轮库以及库外路基等，不含场区出入段线。</w:t>
      </w:r>
    </w:p>
    <w:p>
      <w:pPr>
        <w:spacing w:line="360" w:lineRule="auto"/>
        <w:ind w:firstLine="420"/>
        <w:rPr>
          <w:b/>
          <w:bCs/>
        </w:rPr>
      </w:pPr>
      <w:r>
        <w:rPr>
          <w:b/>
          <w:bCs/>
        </w:rPr>
        <w:t>2  车辆段内主要工程地质概述</w:t>
      </w:r>
    </w:p>
    <w:p>
      <w:pPr>
        <w:spacing w:line="360" w:lineRule="auto"/>
        <w:ind w:firstLine="420"/>
      </w:pPr>
      <w:r>
        <w:t>根据地质详勘报告，本区段地貌主要为剥蚀垅岗区（相当于长江冲洪积III级阶地）。</w:t>
      </w:r>
    </w:p>
    <w:p>
      <w:pPr>
        <w:spacing w:line="360" w:lineRule="auto"/>
        <w:ind w:firstLine="420"/>
      </w:pPr>
      <w:r>
        <w:t>车辆段表层为松散的人工填土；上部为第四系全新统的可塑性黏土（局部分布）、第四系上更新统冲洪积的硬塑老黏性土、黏土夹碎石；下伏基岩为白垩至下第三系的粉砂质泥岩、泥质粉砂岩、角砾岩，岩性较单一。</w:t>
      </w:r>
    </w:p>
    <w:p>
      <w:pPr>
        <w:spacing w:line="360" w:lineRule="auto"/>
        <w:ind w:firstLine="420"/>
      </w:pPr>
      <w:r>
        <w:t>3 主要工程设计概况</w:t>
      </w:r>
    </w:p>
    <w:p>
      <w:pPr>
        <w:spacing w:line="360" w:lineRule="auto"/>
        <w:ind w:firstLine="422"/>
      </w:pPr>
      <w:r>
        <w:t>3.1 设计技术标准</w:t>
      </w:r>
    </w:p>
    <w:p>
      <w:pPr>
        <w:spacing w:line="360" w:lineRule="auto"/>
        <w:ind w:firstLine="422"/>
      </w:pPr>
      <w:r>
        <w:t>本次路基专业负责设计内容主要为车辆段内挖方边坡支挡防护以及库外铺轨范围的地基加固处理。</w:t>
      </w:r>
    </w:p>
    <w:p>
      <w:pPr>
        <w:spacing w:line="360" w:lineRule="auto"/>
        <w:ind w:firstLine="422"/>
      </w:pPr>
      <w:r>
        <w:t>3.1.1工人村车辆段轨道及道床铺设范围如下：</w:t>
      </w:r>
    </w:p>
    <w:p>
      <w:pPr>
        <w:sectPr>
          <w:footnotePr>
            <w:numFmt w:val="decimal"/>
          </w:footnotePr>
          <w:endnotePr>
            <w:numFmt w:val="decimal"/>
          </w:endnotePr>
          <w:type w:val="continuous"/>
          <w:pgSz w:w="11906" w:h="16838"/>
          <w:pgMar w:top="1440" w:right="1800" w:bottom="1440" w:left="1800" w:header="720" w:footer="720" w:gutter="0"/>
          <w:paperSrc/>
          <w:cols w:space="425" w:num="2"/>
        </w:sectPr>
      </w:pPr>
    </w:p>
    <w:p>
      <w:pPr>
        <w:spacing w:line="360" w:lineRule="auto"/>
        <w:ind w:firstLine="361"/>
        <w:jc w:val="center"/>
        <w:rPr>
          <w:b/>
          <w:sz w:val="18"/>
          <w:szCs w:val="18"/>
        </w:rPr>
      </w:pPr>
      <w:r>
        <w:rPr>
          <w:b/>
          <w:sz w:val="18"/>
          <w:szCs w:val="18"/>
        </w:rPr>
        <w:t>表1  工人村车辆段库外道床及铺轨形式表</w:t>
      </w:r>
    </w:p>
    <w:tbl>
      <w:tblPr>
        <w:tblStyle w:val="7"/>
        <w:tblW w:w="6945" w:type="dxa"/>
        <w:jc w:val="center"/>
        <w:tblInd w:w="0" w:type="dxa"/>
        <w:tblLayout w:type="fixed"/>
        <w:tblCellMar>
          <w:top w:w="0" w:type="dxa"/>
          <w:left w:w="108" w:type="dxa"/>
          <w:bottom w:w="0" w:type="dxa"/>
          <w:right w:w="108" w:type="dxa"/>
        </w:tblCellMar>
      </w:tblPr>
      <w:tblGrid>
        <w:gridCol w:w="1559"/>
        <w:gridCol w:w="1559"/>
        <w:gridCol w:w="3827"/>
      </w:tblGrid>
      <w:tr>
        <w:tblPrEx>
          <w:tblLayout w:type="fixed"/>
          <w:tblCellMar>
            <w:top w:w="0" w:type="dxa"/>
            <w:left w:w="108" w:type="dxa"/>
            <w:bottom w:w="0" w:type="dxa"/>
            <w:right w:w="108" w:type="dxa"/>
          </w:tblCellMar>
        </w:tblPrEx>
        <w:trPr>
          <w:trHeight w:val="0" w:hRule="atLeast"/>
          <w:jc w:val="center"/>
        </w:trPr>
        <w:tc>
          <w:tcPr>
            <w:tcW w:w="1559" w:type="dxa"/>
            <w:tcBorders>
              <w:top w:val="single" w:color="000000" w:sz="8" w:space="0"/>
              <w:left w:val="nil"/>
              <w:bottom w:val="single" w:color="000000" w:sz="8" w:space="0"/>
              <w:right w:val="nil"/>
            </w:tcBorders>
            <w:tcMar>
              <w:top w:w="0" w:type="dxa"/>
              <w:left w:w="108" w:type="dxa"/>
              <w:bottom w:w="0" w:type="dxa"/>
              <w:right w:w="108" w:type="dxa"/>
            </w:tcMar>
          </w:tcPr>
          <w:p>
            <w:pPr>
              <w:spacing w:line="360" w:lineRule="auto"/>
              <w:jc w:val="center"/>
              <w:rPr>
                <w:bCs/>
                <w:sz w:val="15"/>
                <w:szCs w:val="15"/>
              </w:rPr>
            </w:pPr>
            <w:r>
              <w:rPr>
                <w:bCs/>
                <w:sz w:val="15"/>
                <w:szCs w:val="15"/>
              </w:rPr>
              <w:t>轨道形式</w:t>
            </w:r>
          </w:p>
        </w:tc>
        <w:tc>
          <w:tcPr>
            <w:tcW w:w="1559" w:type="dxa"/>
            <w:tcBorders>
              <w:top w:val="single" w:color="000000" w:sz="8" w:space="0"/>
              <w:left w:val="nil"/>
              <w:bottom w:val="single" w:color="000000" w:sz="8" w:space="0"/>
              <w:right w:val="nil"/>
            </w:tcBorders>
            <w:tcMar>
              <w:top w:w="0" w:type="dxa"/>
              <w:left w:w="108" w:type="dxa"/>
              <w:bottom w:w="0" w:type="dxa"/>
              <w:right w:w="108" w:type="dxa"/>
            </w:tcMar>
          </w:tcPr>
          <w:p>
            <w:pPr>
              <w:rPr>
                <w:bCs/>
                <w:sz w:val="15"/>
                <w:szCs w:val="15"/>
              </w:rPr>
            </w:pPr>
            <w:r>
              <w:rPr>
                <w:bCs/>
                <w:sz w:val="15"/>
                <w:szCs w:val="15"/>
              </w:rPr>
              <w:t>道床形式</w:t>
            </w:r>
          </w:p>
        </w:tc>
        <w:tc>
          <w:tcPr>
            <w:tcW w:w="3827" w:type="dxa"/>
            <w:tcBorders>
              <w:top w:val="single" w:color="000000" w:sz="8" w:space="0"/>
              <w:left w:val="nil"/>
              <w:bottom w:val="single" w:color="000000" w:sz="8" w:space="0"/>
              <w:right w:val="nil"/>
            </w:tcBorders>
            <w:tcMar>
              <w:top w:w="0" w:type="dxa"/>
              <w:left w:w="108" w:type="dxa"/>
              <w:bottom w:w="0" w:type="dxa"/>
              <w:right w:w="108" w:type="dxa"/>
            </w:tcMar>
          </w:tcPr>
          <w:p>
            <w:pPr>
              <w:rPr>
                <w:bCs/>
                <w:sz w:val="15"/>
                <w:szCs w:val="15"/>
              </w:rPr>
            </w:pPr>
            <w:r>
              <w:rPr>
                <w:bCs/>
                <w:sz w:val="15"/>
                <w:szCs w:val="15"/>
              </w:rPr>
              <w:t>铺轨范围</w:t>
            </w:r>
          </w:p>
        </w:tc>
      </w:tr>
      <w:tr>
        <w:tblPrEx>
          <w:tblLayout w:type="fixed"/>
          <w:tblCellMar>
            <w:top w:w="0" w:type="dxa"/>
            <w:left w:w="108" w:type="dxa"/>
            <w:bottom w:w="0" w:type="dxa"/>
            <w:right w:w="108" w:type="dxa"/>
          </w:tblCellMar>
        </w:tblPrEx>
        <w:trPr>
          <w:trHeight w:val="0" w:hRule="atLeast"/>
          <w:jc w:val="center"/>
        </w:trPr>
        <w:tc>
          <w:tcPr>
            <w:tcW w:w="1559" w:type="dxa"/>
            <w:tcBorders>
              <w:top w:val="nil"/>
              <w:left w:val="nil"/>
              <w:bottom w:val="nil"/>
              <w:right w:val="nil"/>
            </w:tcBorders>
            <w:tcMar>
              <w:top w:w="0" w:type="dxa"/>
              <w:left w:w="108" w:type="dxa"/>
              <w:bottom w:w="0" w:type="dxa"/>
              <w:right w:w="108" w:type="dxa"/>
            </w:tcMar>
          </w:tcPr>
          <w:p>
            <w:pPr>
              <w:spacing w:line="360" w:lineRule="auto"/>
              <w:jc w:val="center"/>
              <w:rPr>
                <w:bCs/>
                <w:sz w:val="15"/>
                <w:szCs w:val="15"/>
              </w:rPr>
            </w:pPr>
            <w:r>
              <w:rPr>
                <w:bCs/>
                <w:sz w:val="15"/>
                <w:szCs w:val="15"/>
              </w:rPr>
              <w:t>无砟轨道</w:t>
            </w:r>
          </w:p>
        </w:tc>
        <w:tc>
          <w:tcPr>
            <w:tcW w:w="1559" w:type="dxa"/>
            <w:tcBorders>
              <w:top w:val="nil"/>
              <w:left w:val="nil"/>
              <w:bottom w:val="nil"/>
              <w:right w:val="nil"/>
            </w:tcBorders>
            <w:tcMar>
              <w:top w:w="0" w:type="dxa"/>
              <w:left w:w="108" w:type="dxa"/>
              <w:bottom w:w="0" w:type="dxa"/>
              <w:right w:w="108" w:type="dxa"/>
            </w:tcMar>
          </w:tcPr>
          <w:p>
            <w:pPr>
              <w:rPr>
                <w:sz w:val="15"/>
                <w:szCs w:val="15"/>
              </w:rPr>
            </w:pPr>
            <w:r>
              <w:rPr>
                <w:sz w:val="15"/>
                <w:szCs w:val="15"/>
              </w:rPr>
              <w:t>整体道床</w:t>
            </w:r>
          </w:p>
        </w:tc>
        <w:tc>
          <w:tcPr>
            <w:tcW w:w="3827" w:type="dxa"/>
            <w:tcBorders>
              <w:top w:val="nil"/>
              <w:left w:val="nil"/>
              <w:bottom w:val="nil"/>
              <w:right w:val="nil"/>
            </w:tcBorders>
            <w:tcMar>
              <w:top w:w="0" w:type="dxa"/>
              <w:left w:w="108" w:type="dxa"/>
              <w:bottom w:w="0" w:type="dxa"/>
              <w:right w:w="108" w:type="dxa"/>
            </w:tcMar>
          </w:tcPr>
          <w:p>
            <w:pPr>
              <w:rPr>
                <w:sz w:val="15"/>
                <w:szCs w:val="15"/>
              </w:rPr>
            </w:pPr>
            <w:r>
              <w:rPr>
                <w:sz w:val="15"/>
                <w:szCs w:val="15"/>
              </w:rPr>
              <w:t>检修库库前平过道、运用库库前平过道、洗车库库前后平过道、镟轮库前后平过道、调机工程车库平过道、试车线检查坑两侧平过道。</w:t>
            </w:r>
          </w:p>
        </w:tc>
      </w:tr>
      <w:tr>
        <w:tblPrEx>
          <w:tblLayout w:type="fixed"/>
          <w:tblCellMar>
            <w:top w:w="0" w:type="dxa"/>
            <w:left w:w="108" w:type="dxa"/>
            <w:bottom w:w="0" w:type="dxa"/>
            <w:right w:w="108" w:type="dxa"/>
          </w:tblCellMar>
        </w:tblPrEx>
        <w:trPr>
          <w:trHeight w:val="0" w:hRule="atLeast"/>
          <w:jc w:val="center"/>
        </w:trPr>
        <w:tc>
          <w:tcPr>
            <w:tcW w:w="1559" w:type="dxa"/>
            <w:tcBorders>
              <w:top w:val="nil"/>
              <w:left w:val="nil"/>
              <w:bottom w:val="single" w:color="000000" w:sz="8" w:space="0"/>
              <w:right w:val="nil"/>
            </w:tcBorders>
            <w:tcMar>
              <w:top w:w="0" w:type="dxa"/>
              <w:left w:w="108" w:type="dxa"/>
              <w:bottom w:w="0" w:type="dxa"/>
              <w:right w:w="108" w:type="dxa"/>
            </w:tcMar>
          </w:tcPr>
          <w:p>
            <w:pPr>
              <w:spacing w:line="360" w:lineRule="auto"/>
              <w:jc w:val="center"/>
              <w:rPr>
                <w:bCs/>
                <w:sz w:val="15"/>
                <w:szCs w:val="15"/>
              </w:rPr>
            </w:pPr>
            <w:r>
              <w:rPr>
                <w:bCs/>
                <w:sz w:val="15"/>
                <w:szCs w:val="15"/>
              </w:rPr>
              <w:t>有砟轨道</w:t>
            </w:r>
          </w:p>
        </w:tc>
        <w:tc>
          <w:tcPr>
            <w:tcW w:w="1559" w:type="dxa"/>
            <w:tcBorders>
              <w:top w:val="nil"/>
              <w:left w:val="nil"/>
              <w:bottom w:val="single" w:color="000000" w:sz="8" w:space="0"/>
              <w:right w:val="nil"/>
            </w:tcBorders>
            <w:tcMar>
              <w:top w:w="0" w:type="dxa"/>
              <w:left w:w="108" w:type="dxa"/>
              <w:bottom w:w="0" w:type="dxa"/>
              <w:right w:w="108" w:type="dxa"/>
            </w:tcMar>
          </w:tcPr>
          <w:p>
            <w:pPr>
              <w:rPr>
                <w:sz w:val="15"/>
                <w:szCs w:val="15"/>
              </w:rPr>
            </w:pPr>
            <w:r>
              <w:rPr>
                <w:sz w:val="15"/>
                <w:szCs w:val="15"/>
              </w:rPr>
              <w:t>碎石道床</w:t>
            </w:r>
          </w:p>
        </w:tc>
        <w:tc>
          <w:tcPr>
            <w:tcW w:w="3827" w:type="dxa"/>
            <w:tcBorders>
              <w:top w:val="nil"/>
              <w:left w:val="nil"/>
              <w:bottom w:val="single" w:color="000000" w:sz="8" w:space="0"/>
              <w:right w:val="nil"/>
            </w:tcBorders>
            <w:tcMar>
              <w:top w:w="0" w:type="dxa"/>
              <w:left w:w="108" w:type="dxa"/>
              <w:bottom w:w="0" w:type="dxa"/>
              <w:right w:w="108" w:type="dxa"/>
            </w:tcMar>
          </w:tcPr>
          <w:p>
            <w:pPr>
              <w:rPr>
                <w:sz w:val="15"/>
                <w:szCs w:val="15"/>
              </w:rPr>
            </w:pPr>
            <w:r>
              <w:rPr>
                <w:sz w:val="15"/>
                <w:szCs w:val="15"/>
              </w:rPr>
              <w:t>库外铺轨区除去整体道床区</w:t>
            </w:r>
          </w:p>
        </w:tc>
      </w:tr>
    </w:tbl>
    <w:p>
      <w:pPr>
        <w:sectPr>
          <w:footnotePr>
            <w:numFmt w:val="decimal"/>
          </w:footnotePr>
          <w:endnotePr>
            <w:numFmt w:val="decimal"/>
          </w:endnotePr>
          <w:type w:val="continuous"/>
          <w:pgSz w:w="11906" w:h="16838"/>
          <w:pgMar w:top="1440" w:right="1800" w:bottom="1440" w:left="1800" w:header="720" w:footer="720" w:gutter="0"/>
          <w:paperSrc/>
        </w:sectPr>
      </w:pPr>
    </w:p>
    <w:p>
      <w:pPr>
        <w:spacing w:line="360" w:lineRule="auto"/>
        <w:ind w:firstLine="420"/>
      </w:pPr>
      <w:r>
        <w:t>3.1.2 按照地铁设计规范路基的工后沉降量应符合下列要求</w:t>
      </w:r>
      <w:r>
        <w:rPr>
          <w:vertAlign w:val="superscript"/>
        </w:rPr>
        <w:t>[1]</w:t>
      </w:r>
      <w:r>
        <w:t>：</w:t>
      </w:r>
    </w:p>
    <w:p>
      <w:pPr>
        <w:sectPr>
          <w:footnotePr>
            <w:numFmt w:val="decimal"/>
          </w:footnotePr>
          <w:endnotePr>
            <w:numFmt w:val="decimal"/>
          </w:endnotePr>
          <w:type w:val="continuous"/>
          <w:pgSz w:w="11906" w:h="16838"/>
          <w:pgMar w:top="1440" w:right="1800" w:bottom="1440" w:left="1800" w:header="720" w:footer="720" w:gutter="0"/>
          <w:paperSrc/>
        </w:sectPr>
      </w:pPr>
    </w:p>
    <w:p>
      <w:pPr>
        <w:spacing w:line="360" w:lineRule="auto"/>
        <w:ind w:firstLine="361"/>
        <w:jc w:val="center"/>
        <w:rPr>
          <w:b/>
          <w:sz w:val="18"/>
          <w:szCs w:val="18"/>
        </w:rPr>
      </w:pPr>
      <w:r>
        <w:rPr>
          <w:b/>
          <w:sz w:val="18"/>
          <w:szCs w:val="18"/>
        </w:rPr>
        <w:t>表2  工人村车辆段库外路基沉降控制标准</w:t>
      </w:r>
    </w:p>
    <w:tbl>
      <w:tblPr>
        <w:tblStyle w:val="7"/>
        <w:tblW w:w="8060" w:type="dxa"/>
        <w:tblInd w:w="567" w:type="dxa"/>
        <w:tblLayout w:type="fixed"/>
        <w:tblCellMar>
          <w:top w:w="0" w:type="dxa"/>
          <w:left w:w="108" w:type="dxa"/>
          <w:bottom w:w="0" w:type="dxa"/>
          <w:right w:w="108" w:type="dxa"/>
        </w:tblCellMar>
      </w:tblPr>
      <w:tblGrid>
        <w:gridCol w:w="1114"/>
        <w:gridCol w:w="446"/>
        <w:gridCol w:w="972"/>
        <w:gridCol w:w="303"/>
        <w:gridCol w:w="972"/>
        <w:gridCol w:w="3281"/>
        <w:gridCol w:w="972"/>
      </w:tblGrid>
      <w:tr>
        <w:tblPrEx>
          <w:tblLayout w:type="fixed"/>
          <w:tblCellMar>
            <w:top w:w="0" w:type="dxa"/>
            <w:left w:w="108" w:type="dxa"/>
            <w:bottom w:w="0" w:type="dxa"/>
            <w:right w:w="108" w:type="dxa"/>
          </w:tblCellMar>
        </w:tblPrEx>
        <w:trPr>
          <w:trHeight w:val="0" w:hRule="atLeast"/>
        </w:trPr>
        <w:tc>
          <w:tcPr>
            <w:tcW w:w="1114" w:type="dxa"/>
            <w:tcBorders>
              <w:top w:val="nil"/>
              <w:left w:val="nil"/>
              <w:bottom w:val="nil"/>
              <w:right w:val="nil"/>
            </w:tcBorders>
            <w:tcMar>
              <w:top w:w="56" w:type="dxa"/>
              <w:left w:w="56" w:type="dxa"/>
              <w:bottom w:w="56" w:type="dxa"/>
              <w:right w:w="56" w:type="dxa"/>
            </w:tcMar>
          </w:tcPr>
          <w:p/>
        </w:tc>
        <w:tc>
          <w:tcPr>
            <w:tcW w:w="1418" w:type="dxa"/>
            <w:gridSpan w:val="2"/>
            <w:tcBorders>
              <w:top w:val="single" w:color="000000" w:sz="8" w:space="0"/>
              <w:left w:val="nil"/>
              <w:bottom w:val="single" w:color="000000" w:sz="8" w:space="0"/>
              <w:right w:val="nil"/>
            </w:tcBorders>
            <w:tcMar>
              <w:top w:w="0" w:type="dxa"/>
              <w:left w:w="108" w:type="dxa"/>
              <w:bottom w:w="0" w:type="dxa"/>
              <w:right w:w="108" w:type="dxa"/>
            </w:tcMar>
          </w:tcPr>
          <w:p>
            <w:pPr>
              <w:spacing w:line="360" w:lineRule="auto"/>
              <w:jc w:val="center"/>
              <w:rPr>
                <w:bCs/>
                <w:sz w:val="15"/>
                <w:szCs w:val="15"/>
              </w:rPr>
            </w:pPr>
            <w:r>
              <w:rPr>
                <w:bCs/>
                <w:sz w:val="15"/>
                <w:szCs w:val="15"/>
              </w:rPr>
              <w:t>轨道形式</w:t>
            </w:r>
          </w:p>
        </w:tc>
        <w:tc>
          <w:tcPr>
            <w:tcW w:w="1275" w:type="dxa"/>
            <w:gridSpan w:val="2"/>
            <w:tcBorders>
              <w:top w:val="single" w:color="000000" w:sz="8" w:space="0"/>
              <w:left w:val="nil"/>
              <w:bottom w:val="single" w:color="000000" w:sz="8" w:space="0"/>
              <w:right w:val="nil"/>
            </w:tcBorders>
            <w:tcMar>
              <w:top w:w="0" w:type="dxa"/>
              <w:left w:w="108" w:type="dxa"/>
              <w:bottom w:w="0" w:type="dxa"/>
              <w:right w:w="108" w:type="dxa"/>
            </w:tcMar>
          </w:tcPr>
          <w:p>
            <w:pPr>
              <w:rPr>
                <w:bCs/>
                <w:sz w:val="15"/>
                <w:szCs w:val="15"/>
              </w:rPr>
            </w:pPr>
            <w:r>
              <w:rPr>
                <w:bCs/>
                <w:sz w:val="15"/>
                <w:szCs w:val="15"/>
              </w:rPr>
              <w:t>道床形式</w:t>
            </w:r>
          </w:p>
        </w:tc>
        <w:tc>
          <w:tcPr>
            <w:tcW w:w="4253" w:type="dxa"/>
            <w:gridSpan w:val="2"/>
            <w:tcBorders>
              <w:top w:val="single" w:color="000000" w:sz="8" w:space="0"/>
              <w:left w:val="nil"/>
              <w:bottom w:val="single" w:color="000000" w:sz="8" w:space="0"/>
              <w:right w:val="nil"/>
            </w:tcBorders>
            <w:tcMar>
              <w:top w:w="0" w:type="dxa"/>
              <w:left w:w="108" w:type="dxa"/>
              <w:bottom w:w="0" w:type="dxa"/>
              <w:right w:w="108" w:type="dxa"/>
            </w:tcMar>
          </w:tcPr>
          <w:p>
            <w:pPr>
              <w:rPr>
                <w:bCs/>
                <w:sz w:val="15"/>
                <w:szCs w:val="15"/>
              </w:rPr>
            </w:pPr>
            <w:r>
              <w:rPr>
                <w:bCs/>
                <w:sz w:val="15"/>
                <w:szCs w:val="15"/>
              </w:rPr>
              <w:t>沉降控制标准</w:t>
            </w:r>
          </w:p>
        </w:tc>
      </w:tr>
      <w:tr>
        <w:tblPrEx>
          <w:tblLayout w:type="fixed"/>
          <w:tblCellMar>
            <w:top w:w="0" w:type="dxa"/>
            <w:left w:w="108" w:type="dxa"/>
            <w:bottom w:w="0" w:type="dxa"/>
            <w:right w:w="108" w:type="dxa"/>
          </w:tblCellMar>
        </w:tblPrEx>
        <w:trPr>
          <w:gridAfter w:val="1"/>
          <w:wAfter w:w="972" w:type="dxa"/>
          <w:trHeight w:val="0" w:hRule="atLeast"/>
        </w:trPr>
        <w:tc>
          <w:tcPr>
            <w:tcW w:w="1560" w:type="dxa"/>
            <w:gridSpan w:val="2"/>
            <w:tcBorders>
              <w:top w:val="nil"/>
              <w:left w:val="nil"/>
              <w:bottom w:val="nil"/>
              <w:right w:val="nil"/>
            </w:tcBorders>
            <w:tcMar>
              <w:top w:w="0" w:type="dxa"/>
              <w:left w:w="108" w:type="dxa"/>
              <w:bottom w:w="0" w:type="dxa"/>
              <w:right w:w="108" w:type="dxa"/>
            </w:tcMar>
          </w:tcPr>
          <w:p>
            <w:pPr>
              <w:spacing w:line="360" w:lineRule="auto"/>
              <w:jc w:val="center"/>
              <w:rPr>
                <w:bCs/>
                <w:sz w:val="15"/>
                <w:szCs w:val="15"/>
              </w:rPr>
            </w:pPr>
            <w:r>
              <w:rPr>
                <w:bCs/>
                <w:sz w:val="15"/>
                <w:szCs w:val="15"/>
              </w:rPr>
              <w:t>无砟轨道</w:t>
            </w:r>
          </w:p>
        </w:tc>
        <w:tc>
          <w:tcPr>
            <w:tcW w:w="1275" w:type="dxa"/>
            <w:gridSpan w:val="2"/>
            <w:tcBorders>
              <w:top w:val="nil"/>
              <w:left w:val="nil"/>
              <w:bottom w:val="nil"/>
              <w:right w:val="nil"/>
            </w:tcBorders>
            <w:tcMar>
              <w:top w:w="0" w:type="dxa"/>
              <w:left w:w="108" w:type="dxa"/>
              <w:bottom w:w="0" w:type="dxa"/>
              <w:right w:w="108" w:type="dxa"/>
            </w:tcMar>
          </w:tcPr>
          <w:p>
            <w:pPr>
              <w:rPr>
                <w:sz w:val="15"/>
                <w:szCs w:val="15"/>
              </w:rPr>
            </w:pPr>
            <w:r>
              <w:rPr>
                <w:sz w:val="15"/>
                <w:szCs w:val="15"/>
              </w:rPr>
              <w:t>整体道床</w:t>
            </w:r>
          </w:p>
        </w:tc>
        <w:tc>
          <w:tcPr>
            <w:tcW w:w="4253" w:type="dxa"/>
            <w:gridSpan w:val="2"/>
            <w:tcBorders>
              <w:top w:val="nil"/>
              <w:left w:val="nil"/>
              <w:bottom w:val="nil"/>
              <w:right w:val="nil"/>
            </w:tcBorders>
            <w:tcMar>
              <w:top w:w="0" w:type="dxa"/>
              <w:left w:w="108" w:type="dxa"/>
              <w:bottom w:w="0" w:type="dxa"/>
              <w:right w:w="108" w:type="dxa"/>
            </w:tcMar>
          </w:tcPr>
          <w:p>
            <w:pPr>
              <w:rPr>
                <w:sz w:val="15"/>
                <w:szCs w:val="15"/>
              </w:rPr>
            </w:pPr>
            <w:r>
              <w:rPr>
                <w:sz w:val="15"/>
                <w:szCs w:val="15"/>
              </w:rPr>
              <w:t>线路路基工后不均匀沉降量，不应超过扣件允许的调高量，路桥或路隧交界处差异沉降不应大于10mm，过渡段沉降造成的路基和桥梁或隧道的折角不应大于1/1000。</w:t>
            </w:r>
          </w:p>
        </w:tc>
      </w:tr>
      <w:tr>
        <w:tblPrEx>
          <w:tblLayout w:type="fixed"/>
          <w:tblCellMar>
            <w:top w:w="0" w:type="dxa"/>
            <w:left w:w="108" w:type="dxa"/>
            <w:bottom w:w="0" w:type="dxa"/>
            <w:right w:w="108" w:type="dxa"/>
          </w:tblCellMar>
        </w:tblPrEx>
        <w:trPr>
          <w:gridAfter w:val="1"/>
          <w:wAfter w:w="972" w:type="dxa"/>
          <w:trHeight w:val="0" w:hRule="atLeast"/>
        </w:trPr>
        <w:tc>
          <w:tcPr>
            <w:tcW w:w="1560" w:type="dxa"/>
            <w:gridSpan w:val="2"/>
            <w:tcBorders>
              <w:top w:val="nil"/>
              <w:left w:val="nil"/>
              <w:bottom w:val="single" w:color="000000" w:sz="8" w:space="0"/>
              <w:right w:val="nil"/>
            </w:tcBorders>
            <w:tcMar>
              <w:top w:w="0" w:type="dxa"/>
              <w:left w:w="108" w:type="dxa"/>
              <w:bottom w:w="0" w:type="dxa"/>
              <w:right w:w="108" w:type="dxa"/>
            </w:tcMar>
          </w:tcPr>
          <w:p>
            <w:pPr>
              <w:spacing w:line="360" w:lineRule="auto"/>
              <w:jc w:val="center"/>
              <w:rPr>
                <w:bCs/>
                <w:sz w:val="15"/>
                <w:szCs w:val="15"/>
              </w:rPr>
            </w:pPr>
            <w:r>
              <w:rPr>
                <w:bCs/>
                <w:sz w:val="15"/>
                <w:szCs w:val="15"/>
              </w:rPr>
              <w:t>有砟轨道</w:t>
            </w:r>
          </w:p>
        </w:tc>
        <w:tc>
          <w:tcPr>
            <w:tcW w:w="1275" w:type="dxa"/>
            <w:gridSpan w:val="2"/>
            <w:tcBorders>
              <w:top w:val="nil"/>
              <w:left w:val="nil"/>
              <w:bottom w:val="single" w:color="000000" w:sz="8" w:space="0"/>
              <w:right w:val="nil"/>
            </w:tcBorders>
            <w:tcMar>
              <w:top w:w="0" w:type="dxa"/>
              <w:left w:w="108" w:type="dxa"/>
              <w:bottom w:w="0" w:type="dxa"/>
              <w:right w:w="108" w:type="dxa"/>
            </w:tcMar>
          </w:tcPr>
          <w:p>
            <w:pPr>
              <w:rPr>
                <w:sz w:val="15"/>
                <w:szCs w:val="15"/>
              </w:rPr>
            </w:pPr>
            <w:r>
              <w:rPr>
                <w:sz w:val="15"/>
                <w:szCs w:val="15"/>
              </w:rPr>
              <w:t>碎石道床</w:t>
            </w:r>
          </w:p>
        </w:tc>
        <w:tc>
          <w:tcPr>
            <w:tcW w:w="4253" w:type="dxa"/>
            <w:gridSpan w:val="2"/>
            <w:tcBorders>
              <w:top w:val="nil"/>
              <w:left w:val="nil"/>
              <w:bottom w:val="single" w:color="000000" w:sz="8" w:space="0"/>
              <w:right w:val="nil"/>
            </w:tcBorders>
            <w:tcMar>
              <w:top w:w="0" w:type="dxa"/>
              <w:left w:w="108" w:type="dxa"/>
              <w:bottom w:w="0" w:type="dxa"/>
              <w:right w:w="108" w:type="dxa"/>
            </w:tcMar>
          </w:tcPr>
          <w:p>
            <w:pPr>
              <w:rPr>
                <w:sz w:val="15"/>
                <w:szCs w:val="15"/>
              </w:rPr>
            </w:pPr>
            <w:r>
              <w:rPr>
                <w:sz w:val="15"/>
                <w:szCs w:val="15"/>
              </w:rPr>
              <w:t>有砟工后沉降要求轨道线路不应大于200mm，路桥过渡段不应大于100mm，沉降速率不应大于50mm/年。</w:t>
            </w:r>
          </w:p>
        </w:tc>
      </w:tr>
    </w:tbl>
    <w:p>
      <w:pPr>
        <w:sectPr>
          <w:footnotePr>
            <w:numFmt w:val="decimal"/>
          </w:footnotePr>
          <w:endnotePr>
            <w:numFmt w:val="decimal"/>
          </w:endnotePr>
          <w:type w:val="continuous"/>
          <w:pgSz w:w="11906" w:h="16838"/>
          <w:pgMar w:top="1440" w:right="1800" w:bottom="1440" w:left="1800" w:header="720" w:footer="720" w:gutter="0"/>
          <w:paperSrc/>
        </w:sectPr>
      </w:pPr>
    </w:p>
    <w:p>
      <w:pPr>
        <w:spacing w:line="360" w:lineRule="auto"/>
        <w:ind w:firstLine="420"/>
      </w:pPr>
      <w:r>
        <w:t>停车列检库库外平交道沿线路方向长度为62m，宽度为5m，道床设计为整体道床，铺设无砟轨道。由于库前平过道地段需铺设整体道床，工后沉降要求严格，经过对比分析以上段落地质资料以及车辆段内场坪高程、路基填高，确定停车列检库库外平交道为本次代表性老粘土地层地基加固分析重点。</w:t>
      </w:r>
    </w:p>
    <w:p>
      <w:pPr>
        <w:sectPr>
          <w:footnotePr>
            <w:numFmt w:val="decimal"/>
          </w:footnotePr>
          <w:endnotePr>
            <w:numFmt w:val="decimal"/>
          </w:endnotePr>
          <w:type w:val="continuous"/>
          <w:pgSz w:w="11906" w:h="16838"/>
          <w:pgMar w:top="1440" w:right="1800" w:bottom="1440" w:left="1800" w:header="720" w:footer="720" w:gutter="0"/>
          <w:paperSrc/>
          <w:cols w:space="425" w:num="2"/>
        </w:sectPr>
      </w:pPr>
    </w:p>
    <w:p>
      <w:pPr>
        <w:spacing w:line="360" w:lineRule="auto"/>
        <w:ind w:firstLine="420"/>
        <w:jc w:val="center"/>
        <w:rPr>
          <w:bCs/>
        </w:rPr>
      </w:pPr>
      <w:r>
        <w:drawing>
          <wp:inline distT="0" distB="0" distL="0" distR="0">
            <wp:extent cx="4191635" cy="2026285"/>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5"/>
                    <a:stretch>
                      <a:fillRect/>
                    </a:stretch>
                  </pic:blipFill>
                  <pic:spPr>
                    <a:xfrm>
                      <a:off x="0" y="0"/>
                      <a:ext cx="4191635" cy="2026285"/>
                    </a:xfrm>
                    <a:prstGeom prst="rect">
                      <a:avLst/>
                    </a:prstGeom>
                    <a:noFill/>
                    <a:ln w="12700">
                      <a:noFill/>
                    </a:ln>
                  </pic:spPr>
                </pic:pic>
              </a:graphicData>
            </a:graphic>
          </wp:inline>
        </w:drawing>
      </w:r>
    </w:p>
    <w:p>
      <w:pPr>
        <w:sectPr>
          <w:footnotePr>
            <w:numFmt w:val="decimal"/>
          </w:footnotePr>
          <w:endnotePr>
            <w:numFmt w:val="decimal"/>
          </w:endnotePr>
          <w:type w:val="continuous"/>
          <w:pgSz w:w="11906" w:h="16838"/>
          <w:pgMar w:top="1440" w:right="1800" w:bottom="1440" w:left="1800" w:header="720" w:footer="720" w:gutter="0"/>
          <w:paperSrc/>
        </w:sectPr>
      </w:pPr>
    </w:p>
    <w:p>
      <w:pPr>
        <w:spacing w:line="360" w:lineRule="auto"/>
        <w:ind w:firstLine="420"/>
        <w:jc w:val="center"/>
      </w:pPr>
      <w:r>
        <w:t>图1 停车列检库前平过道平面布置图</w:t>
      </w:r>
    </w:p>
    <w:p>
      <w:pPr>
        <w:sectPr>
          <w:footnotePr>
            <w:numFmt w:val="decimal"/>
          </w:footnotePr>
          <w:endnotePr>
            <w:numFmt w:val="decimal"/>
          </w:endnotePr>
          <w:type w:val="continuous"/>
          <w:pgSz w:w="11906" w:h="16838"/>
          <w:pgMar w:top="1440" w:right="1800" w:bottom="1440" w:left="1800" w:header="720" w:footer="720" w:gutter="0"/>
          <w:paperSrc/>
        </w:sectPr>
      </w:pPr>
    </w:p>
    <w:p>
      <w:pPr>
        <w:spacing w:line="360" w:lineRule="auto"/>
        <w:ind w:firstLine="422"/>
        <w:rPr>
          <w:b/>
        </w:rPr>
      </w:pPr>
      <w:r>
        <w:rPr>
          <w:b/>
        </w:rPr>
        <w:t>3.2  主要地层情况</w:t>
      </w:r>
    </w:p>
    <w:p>
      <w:pPr>
        <w:spacing w:line="360" w:lineRule="auto"/>
        <w:ind w:firstLine="420"/>
      </w:pPr>
      <w:r>
        <w:t xml:space="preserve"> 该处钻孔揭示地质状况及各地层物理力学性质指标分述如下：</w:t>
      </w:r>
    </w:p>
    <w:p>
      <w:pPr>
        <w:spacing w:line="360" w:lineRule="auto"/>
        <w:ind w:firstLine="420"/>
      </w:pPr>
      <w:r>
        <w:t>＜1＞杂填土：天然重度γ=18.8kN/m3，黏聚力C =8~11 kPa，内摩擦角φ=15~19°。</w:t>
      </w:r>
    </w:p>
    <w:p>
      <w:pPr>
        <w:spacing w:line="360" w:lineRule="auto"/>
        <w:ind w:firstLine="420"/>
      </w:pPr>
      <w:r>
        <w:t>＜2＞淤泥混素填土：天然重度γ=17.5kN/m3，承载力特征值fak=50~70 kPa，压缩模量Es1-2=2.5~3.5 MPa，黏聚力C =9~13 kPa，内摩擦角φ=4~8°。</w:t>
      </w:r>
    </w:p>
    <w:p>
      <w:pPr>
        <w:spacing w:line="360" w:lineRule="auto"/>
        <w:ind w:firstLine="420"/>
      </w:pPr>
      <w:r>
        <w:t>＜3＞粉质黏土：天然重度γ=19.5kN/m3，承载力特征值fak=330~380 kPa，压缩模量Es1-2=10.5~13.5 MPa，黏聚力C =37~43 kPa，内摩擦角φ=14~18°。</w:t>
      </w:r>
    </w:p>
    <w:p>
      <w:pPr>
        <w:spacing w:line="360" w:lineRule="auto"/>
        <w:ind w:firstLine="420"/>
      </w:pPr>
      <w:r>
        <w:t>＜4＞残积土：天然重度γ=19.7kN/m3，承载力特征值fak=220~300 kPa，压缩模量Es1-2=9.0~12.5 MPa，黏聚力C =15~20 kPa，内摩擦角φ=18~25°。</w:t>
      </w:r>
    </w:p>
    <w:p>
      <w:pPr>
        <w:spacing w:line="360" w:lineRule="auto"/>
        <w:ind w:firstLine="420"/>
      </w:pPr>
      <w:r>
        <w:t>＜5＞强风化含钙泥质粉砂岩：天然重度γ=22.0kN/m3，承载力特征值fak=360~460 kPa，压缩模量E0=42.0～44.0 MPa。</w:t>
      </w:r>
    </w:p>
    <w:p>
      <w:pPr>
        <w:spacing w:line="360" w:lineRule="auto"/>
        <w:ind w:firstLine="420"/>
      </w:pPr>
      <w:r>
        <w:t>＜6＞中风化含钙泥质粉砂岩：天然重度γ=23.5kN/m3，承载力特征值fa=800~1200 kPa。</w:t>
      </w:r>
    </w:p>
    <w:p>
      <w:pPr>
        <w:spacing w:line="360" w:lineRule="auto"/>
        <w:ind w:firstLine="420"/>
      </w:pPr>
      <w:r>
        <w:t xml:space="preserve"> 该处地层主要为第四系上更新统冲洪积层为粉质黏土（Q3al＋pl）褐~褐黄色，饱和、可～硬塑状态、中~低压缩性，含氧化铁，铁锰质结核及少量条带状高岭土，干强度高，韧性高，为典型的硬塑老黏性土层。</w:t>
      </w:r>
    </w:p>
    <w:p>
      <w:pPr>
        <w:spacing w:line="360" w:lineRule="auto"/>
        <w:ind w:firstLine="422"/>
        <w:rPr>
          <w:b/>
        </w:rPr>
      </w:pPr>
      <w:r>
        <w:rPr>
          <w:b/>
        </w:rPr>
        <w:t>3.3 地基处理桩型选择及设计参数选取</w:t>
      </w:r>
    </w:p>
    <w:p>
      <w:pPr>
        <w:spacing w:line="360" w:lineRule="auto"/>
        <w:ind w:firstLine="422"/>
        <w:rPr>
          <w:b/>
        </w:rPr>
      </w:pPr>
      <w:r>
        <w:rPr>
          <w:b/>
        </w:rPr>
        <w:t>3.3 .1工后沉降估算</w:t>
      </w:r>
    </w:p>
    <w:p>
      <w:pPr>
        <w:spacing w:line="360" w:lineRule="auto"/>
        <w:ind w:firstLine="420"/>
      </w:pPr>
      <w:r>
        <w:t>由于工人村车辆段场坪设计高程为33.15m（停车列检库高程），停车列检库库外平交道路基高程为33.15m，该处原地面高程33.3m，该处为挖方，挖深0.15m。按照相关设计规范经计算，列车和轨道荷载换算土柱高度H0及分布宽度L0分别为H0=2.6m、L0=3.4m。经检算，路基工后沉降S=8.46cm，不满足规范规定的铺设无砟轨道工后沉降不大于1.5cm的要求。需进行地基加固处理。</w:t>
      </w:r>
    </w:p>
    <w:p>
      <w:pPr>
        <w:spacing w:line="360" w:lineRule="auto"/>
        <w:ind w:firstLine="422"/>
        <w:rPr>
          <w:b/>
        </w:rPr>
      </w:pPr>
      <w:r>
        <w:rPr>
          <w:b/>
        </w:rPr>
        <w:t>3.3.2  地基处理桩型选择及设计参数选取</w:t>
      </w:r>
    </w:p>
    <w:p>
      <w:pPr>
        <w:spacing w:line="360" w:lineRule="auto"/>
        <w:ind w:firstLine="420"/>
      </w:pPr>
      <w:r>
        <w:t>预应力混凝土管桩具有工业规模化生产、质量易于保障、单桩承载力高、对工程地质条件适应性强、施工速度快、现场无污染等优点，现场应用越来越多。</w:t>
      </w:r>
    </w:p>
    <w:p>
      <w:pPr>
        <w:spacing w:line="360" w:lineRule="auto"/>
        <w:ind w:firstLine="420"/>
      </w:pPr>
      <w:r>
        <w:t>由于地铁车辆段库外铺设整体道床范围较少，而碎石道床路基对地基工后沉降要求不高，车辆段内房屋建筑及库房基础多为PHC桩桩基础，为便于施工及简化施工衔接经与建筑结构专业沟通，决定地铁车辆段内铺设整体道床范围路基地基采用PHC桩桩网结构复合地基加固。桩网结构具体设计为：管桩型号为PHC-500(100)-A型管桩，桩径500mm，壁厚100mm，桩间距2.2m，桩身采用C80高强混凝土预制。桩帽尺寸为：2.0m×2.0m，0.52m厚，采用C35钢筋混凝土现浇，桩帽顶铺设0.6m碎石垫层，并加铺两层抗拉强度不小于110kN/m的双向土工格栅，双向土工格栅，桩尖采用C35钢筋混凝土预制。经检算停车列检库库外平交道管桩桩长11m，路基工后沉降S=10cm，满足铺设整体道床的要求。</w:t>
      </w:r>
    </w:p>
    <w:p>
      <w:pPr>
        <w:spacing w:line="360" w:lineRule="auto"/>
        <w:ind w:firstLine="422"/>
        <w:rPr>
          <w:b/>
        </w:rPr>
      </w:pPr>
      <w:r>
        <w:rPr>
          <w:b/>
        </w:rPr>
        <w:t>3.4 老粘土典型物理力学特征及对工程建设的影响</w:t>
      </w:r>
    </w:p>
    <w:p>
      <w:pPr>
        <w:spacing w:line="360" w:lineRule="auto"/>
        <w:ind w:firstLine="420"/>
      </w:pPr>
      <w:r>
        <w:t>老黏土的物理性质主要表现为孔隙比和液性指数较小，液限较大，压缩性低，强度较高。其典型的物理力学性质指标见表3所示：</w:t>
      </w:r>
    </w:p>
    <w:p>
      <w:pPr>
        <w:sectPr>
          <w:footnotePr>
            <w:numFmt w:val="decimal"/>
          </w:footnotePr>
          <w:endnotePr>
            <w:numFmt w:val="decimal"/>
          </w:endnotePr>
          <w:type w:val="continuous"/>
          <w:pgSz w:w="11906" w:h="16838"/>
          <w:pgMar w:top="1440" w:right="1800" w:bottom="1440" w:left="1800" w:header="720" w:footer="720" w:gutter="0"/>
          <w:paperSrc/>
          <w:cols w:space="425" w:num="2"/>
        </w:sectPr>
      </w:pPr>
    </w:p>
    <w:p>
      <w:pPr>
        <w:spacing w:line="360" w:lineRule="auto"/>
        <w:jc w:val="center"/>
        <w:rPr>
          <w:b/>
        </w:rPr>
      </w:pPr>
      <w:r>
        <w:rPr>
          <w:b/>
        </w:rPr>
        <w:t>表3 老黏土典型物理力学性质指标</w:t>
      </w:r>
    </w:p>
    <w:p>
      <w:pPr>
        <w:sectPr>
          <w:footnotePr>
            <w:numFmt w:val="decimal"/>
          </w:footnotePr>
          <w:endnotePr>
            <w:numFmt w:val="decimal"/>
          </w:endnotePr>
          <w:type w:val="continuous"/>
          <w:pgSz w:w="11906" w:h="16838"/>
          <w:pgMar w:top="1440" w:right="1800" w:bottom="1440" w:left="1800" w:header="720" w:footer="720" w:gutter="0"/>
          <w:paperSrc/>
        </w:sectPr>
      </w:pPr>
    </w:p>
    <w:tbl>
      <w:tblPr>
        <w:tblStyle w:val="7"/>
        <w:tblW w:w="6561" w:type="dxa"/>
        <w:jc w:val="center"/>
        <w:tblInd w:w="0" w:type="dxa"/>
        <w:tblLayout w:type="fixed"/>
        <w:tblCellMar>
          <w:top w:w="0" w:type="dxa"/>
          <w:left w:w="108" w:type="dxa"/>
          <w:bottom w:w="0" w:type="dxa"/>
          <w:right w:w="108" w:type="dxa"/>
        </w:tblCellMar>
      </w:tblPr>
      <w:tblGrid>
        <w:gridCol w:w="1193"/>
        <w:gridCol w:w="975"/>
        <w:gridCol w:w="1127"/>
        <w:gridCol w:w="977"/>
        <w:gridCol w:w="971"/>
        <w:gridCol w:w="1318"/>
      </w:tblGrid>
      <w:tr>
        <w:tblPrEx>
          <w:tblLayout w:type="fixed"/>
          <w:tblCellMar>
            <w:top w:w="0" w:type="dxa"/>
            <w:left w:w="108" w:type="dxa"/>
            <w:bottom w:w="0" w:type="dxa"/>
            <w:right w:w="108" w:type="dxa"/>
          </w:tblCellMar>
        </w:tblPrEx>
        <w:trPr>
          <w:trHeight w:val="687" w:hRule="atLeast"/>
          <w:jc w:val="center"/>
        </w:trPr>
        <w:tc>
          <w:tcPr>
            <w:tcW w:w="1193" w:type="dxa"/>
            <w:tcBorders>
              <w:top w:val="single" w:color="000000" w:sz="8" w:space="0"/>
              <w:left w:val="nil"/>
              <w:bottom w:val="single" w:color="000000" w:sz="8" w:space="0"/>
              <w:right w:val="nil"/>
            </w:tcBorders>
            <w:tcMar>
              <w:top w:w="0" w:type="dxa"/>
              <w:left w:w="108" w:type="dxa"/>
              <w:bottom w:w="0" w:type="dxa"/>
              <w:right w:w="108" w:type="dxa"/>
            </w:tcMar>
          </w:tcPr>
          <w:p>
            <w:pPr>
              <w:spacing w:line="360" w:lineRule="auto"/>
              <w:jc w:val="center"/>
              <w:rPr>
                <w:bCs/>
                <w:sz w:val="15"/>
                <w:szCs w:val="15"/>
              </w:rPr>
            </w:pPr>
            <w:r>
              <w:rPr>
                <w:bCs/>
                <w:sz w:val="15"/>
                <w:szCs w:val="15"/>
              </w:rPr>
              <w:t>天然重度</w:t>
            </w:r>
            <w:r>
              <w:rPr>
                <w:bCs/>
                <w:i/>
                <w:iCs/>
                <w:sz w:val="15"/>
                <w:szCs w:val="15"/>
              </w:rPr>
              <w:t>γ</w:t>
            </w:r>
            <w:r>
              <w:rPr>
                <w:bCs/>
                <w:sz w:val="15"/>
                <w:szCs w:val="15"/>
              </w:rPr>
              <w:t>/(kN/m</w:t>
            </w:r>
            <w:r>
              <w:rPr>
                <w:bCs/>
                <w:sz w:val="15"/>
                <w:szCs w:val="15"/>
                <w:vertAlign w:val="superscript"/>
              </w:rPr>
              <w:t>3</w:t>
            </w:r>
            <w:r>
              <w:rPr>
                <w:bCs/>
                <w:sz w:val="15"/>
                <w:szCs w:val="15"/>
              </w:rPr>
              <w:t>)</w:t>
            </w:r>
          </w:p>
        </w:tc>
        <w:tc>
          <w:tcPr>
            <w:tcW w:w="975" w:type="dxa"/>
            <w:tcBorders>
              <w:top w:val="single" w:color="000000" w:sz="8" w:space="0"/>
              <w:left w:val="nil"/>
              <w:bottom w:val="single" w:color="000000" w:sz="8" w:space="0"/>
              <w:right w:val="nil"/>
            </w:tcBorders>
            <w:tcMar>
              <w:top w:w="0" w:type="dxa"/>
              <w:left w:w="108" w:type="dxa"/>
              <w:bottom w:w="0" w:type="dxa"/>
              <w:right w:w="108" w:type="dxa"/>
            </w:tcMar>
          </w:tcPr>
          <w:p>
            <w:pPr>
              <w:rPr>
                <w:bCs/>
                <w:sz w:val="15"/>
                <w:szCs w:val="15"/>
              </w:rPr>
            </w:pPr>
            <w:r>
              <w:rPr>
                <w:bCs/>
                <w:sz w:val="15"/>
                <w:szCs w:val="15"/>
              </w:rPr>
              <w:t>含水量</w:t>
            </w:r>
            <w:r>
              <w:rPr>
                <w:bCs/>
                <w:i/>
                <w:iCs/>
                <w:sz w:val="15"/>
                <w:szCs w:val="15"/>
              </w:rPr>
              <w:t>ω</w:t>
            </w:r>
            <w:r>
              <w:rPr>
                <w:bCs/>
                <w:sz w:val="15"/>
                <w:szCs w:val="15"/>
              </w:rPr>
              <w:t>/%</w:t>
            </w:r>
          </w:p>
        </w:tc>
        <w:tc>
          <w:tcPr>
            <w:tcW w:w="1127" w:type="dxa"/>
            <w:tcBorders>
              <w:top w:val="single" w:color="000000" w:sz="8" w:space="0"/>
              <w:left w:val="nil"/>
              <w:bottom w:val="single" w:color="000000" w:sz="8" w:space="0"/>
              <w:right w:val="nil"/>
            </w:tcBorders>
            <w:tcMar>
              <w:top w:w="0" w:type="dxa"/>
              <w:left w:w="108" w:type="dxa"/>
              <w:bottom w:w="0" w:type="dxa"/>
              <w:right w:w="108" w:type="dxa"/>
            </w:tcMar>
          </w:tcPr>
          <w:p>
            <w:pPr>
              <w:rPr>
                <w:bCs/>
                <w:sz w:val="15"/>
                <w:szCs w:val="15"/>
              </w:rPr>
            </w:pPr>
            <w:r>
              <w:rPr>
                <w:bCs/>
                <w:sz w:val="15"/>
                <w:szCs w:val="15"/>
              </w:rPr>
              <w:t>孔隙比</w:t>
            </w:r>
            <w:r>
              <w:rPr>
                <w:bCs/>
                <w:i/>
                <w:iCs/>
                <w:sz w:val="15"/>
                <w:szCs w:val="15"/>
              </w:rPr>
              <w:t>e</w:t>
            </w:r>
          </w:p>
        </w:tc>
        <w:tc>
          <w:tcPr>
            <w:tcW w:w="977" w:type="dxa"/>
            <w:tcBorders>
              <w:top w:val="single" w:color="000000" w:sz="8" w:space="0"/>
              <w:left w:val="nil"/>
              <w:bottom w:val="single" w:color="000000" w:sz="8" w:space="0"/>
              <w:right w:val="nil"/>
            </w:tcBorders>
            <w:tcMar>
              <w:top w:w="0" w:type="dxa"/>
              <w:left w:w="108" w:type="dxa"/>
              <w:bottom w:w="0" w:type="dxa"/>
              <w:right w:w="108" w:type="dxa"/>
            </w:tcMar>
          </w:tcPr>
          <w:p>
            <w:pPr>
              <w:rPr>
                <w:bCs/>
                <w:sz w:val="15"/>
                <w:szCs w:val="15"/>
              </w:rPr>
            </w:pPr>
            <w:r>
              <w:rPr>
                <w:bCs/>
                <w:sz w:val="15"/>
                <w:szCs w:val="15"/>
              </w:rPr>
              <w:t>液限</w:t>
            </w:r>
            <w:r>
              <w:rPr>
                <w:bCs/>
                <w:i/>
                <w:iCs/>
                <w:sz w:val="15"/>
                <w:szCs w:val="15"/>
              </w:rPr>
              <w:t>ω</w:t>
            </w:r>
            <w:r>
              <w:rPr>
                <w:bCs/>
                <w:i/>
                <w:iCs/>
                <w:sz w:val="15"/>
                <w:szCs w:val="15"/>
                <w:vertAlign w:val="subscript"/>
              </w:rPr>
              <w:t>L</w:t>
            </w:r>
          </w:p>
        </w:tc>
        <w:tc>
          <w:tcPr>
            <w:tcW w:w="971" w:type="dxa"/>
            <w:tcBorders>
              <w:top w:val="single" w:color="000000" w:sz="8" w:space="0"/>
              <w:left w:val="nil"/>
              <w:bottom w:val="single" w:color="000000" w:sz="8" w:space="0"/>
              <w:right w:val="nil"/>
            </w:tcBorders>
            <w:tcMar>
              <w:top w:w="0" w:type="dxa"/>
              <w:left w:w="108" w:type="dxa"/>
              <w:bottom w:w="0" w:type="dxa"/>
              <w:right w:w="108" w:type="dxa"/>
            </w:tcMar>
          </w:tcPr>
          <w:p>
            <w:pPr>
              <w:rPr>
                <w:bCs/>
                <w:sz w:val="15"/>
                <w:szCs w:val="15"/>
              </w:rPr>
            </w:pPr>
            <w:r>
              <w:rPr>
                <w:bCs/>
                <w:sz w:val="15"/>
                <w:szCs w:val="15"/>
              </w:rPr>
              <w:t>塑限</w:t>
            </w:r>
            <w:r>
              <w:rPr>
                <w:bCs/>
                <w:i/>
                <w:iCs/>
                <w:sz w:val="15"/>
                <w:szCs w:val="15"/>
              </w:rPr>
              <w:t>ω</w:t>
            </w:r>
            <w:r>
              <w:rPr>
                <w:bCs/>
                <w:i/>
                <w:iCs/>
                <w:sz w:val="15"/>
                <w:szCs w:val="15"/>
                <w:vertAlign w:val="subscript"/>
              </w:rPr>
              <w:t>P</w:t>
            </w:r>
          </w:p>
        </w:tc>
        <w:tc>
          <w:tcPr>
            <w:tcW w:w="1318" w:type="dxa"/>
            <w:tcBorders>
              <w:top w:val="single" w:color="000000" w:sz="8" w:space="0"/>
              <w:left w:val="nil"/>
              <w:bottom w:val="single" w:color="000000" w:sz="8" w:space="0"/>
              <w:right w:val="nil"/>
            </w:tcBorders>
            <w:tcMar>
              <w:top w:w="0" w:type="dxa"/>
              <w:left w:w="108" w:type="dxa"/>
              <w:bottom w:w="0" w:type="dxa"/>
              <w:right w:w="108" w:type="dxa"/>
            </w:tcMar>
          </w:tcPr>
          <w:p>
            <w:pPr>
              <w:rPr>
                <w:bCs/>
                <w:sz w:val="15"/>
                <w:szCs w:val="15"/>
              </w:rPr>
            </w:pPr>
            <w:r>
              <w:rPr>
                <w:bCs/>
                <w:sz w:val="15"/>
                <w:szCs w:val="15"/>
              </w:rPr>
              <w:t>塑性指数</w:t>
            </w:r>
            <w:r>
              <w:rPr>
                <w:bCs/>
                <w:i/>
                <w:iCs/>
                <w:sz w:val="15"/>
                <w:szCs w:val="15"/>
              </w:rPr>
              <w:t>I</w:t>
            </w:r>
            <w:r>
              <w:rPr>
                <w:bCs/>
                <w:i/>
                <w:iCs/>
                <w:sz w:val="15"/>
                <w:szCs w:val="15"/>
                <w:vertAlign w:val="subscript"/>
              </w:rPr>
              <w:t>P</w:t>
            </w:r>
          </w:p>
        </w:tc>
      </w:tr>
      <w:tr>
        <w:tblPrEx>
          <w:tblLayout w:type="fixed"/>
          <w:tblCellMar>
            <w:top w:w="0" w:type="dxa"/>
            <w:left w:w="108" w:type="dxa"/>
            <w:bottom w:w="0" w:type="dxa"/>
            <w:right w:w="108" w:type="dxa"/>
          </w:tblCellMar>
        </w:tblPrEx>
        <w:trPr>
          <w:trHeight w:val="590" w:hRule="atLeast"/>
          <w:jc w:val="center"/>
        </w:trPr>
        <w:tc>
          <w:tcPr>
            <w:tcW w:w="1193" w:type="dxa"/>
            <w:tcBorders>
              <w:top w:val="nil"/>
              <w:left w:val="nil"/>
              <w:bottom w:val="nil"/>
              <w:right w:val="nil"/>
            </w:tcBorders>
            <w:tcMar>
              <w:top w:w="0" w:type="dxa"/>
              <w:left w:w="108" w:type="dxa"/>
              <w:bottom w:w="0" w:type="dxa"/>
              <w:right w:w="108" w:type="dxa"/>
            </w:tcMar>
          </w:tcPr>
          <w:p>
            <w:pPr>
              <w:spacing w:line="360" w:lineRule="auto"/>
              <w:jc w:val="center"/>
              <w:rPr>
                <w:bCs/>
                <w:sz w:val="15"/>
                <w:szCs w:val="15"/>
              </w:rPr>
            </w:pPr>
            <w:r>
              <w:rPr>
                <w:bCs/>
                <w:sz w:val="15"/>
                <w:szCs w:val="15"/>
              </w:rPr>
              <w:t>17.9~20.6</w:t>
            </w:r>
          </w:p>
        </w:tc>
        <w:tc>
          <w:tcPr>
            <w:tcW w:w="975" w:type="dxa"/>
            <w:tcBorders>
              <w:top w:val="nil"/>
              <w:left w:val="nil"/>
              <w:bottom w:val="nil"/>
              <w:right w:val="nil"/>
            </w:tcBorders>
            <w:tcMar>
              <w:top w:w="0" w:type="dxa"/>
              <w:left w:w="108" w:type="dxa"/>
              <w:bottom w:w="0" w:type="dxa"/>
              <w:right w:w="108" w:type="dxa"/>
            </w:tcMar>
          </w:tcPr>
          <w:p>
            <w:pPr>
              <w:rPr>
                <w:sz w:val="15"/>
                <w:szCs w:val="15"/>
              </w:rPr>
            </w:pPr>
            <w:r>
              <w:rPr>
                <w:sz w:val="15"/>
                <w:szCs w:val="15"/>
              </w:rPr>
              <w:t>18.0~30.6</w:t>
            </w:r>
          </w:p>
        </w:tc>
        <w:tc>
          <w:tcPr>
            <w:tcW w:w="1127" w:type="dxa"/>
            <w:tcBorders>
              <w:top w:val="nil"/>
              <w:left w:val="nil"/>
              <w:bottom w:val="nil"/>
              <w:right w:val="nil"/>
            </w:tcBorders>
            <w:tcMar>
              <w:top w:w="0" w:type="dxa"/>
              <w:left w:w="108" w:type="dxa"/>
              <w:bottom w:w="0" w:type="dxa"/>
              <w:right w:w="108" w:type="dxa"/>
            </w:tcMar>
          </w:tcPr>
          <w:p>
            <w:pPr>
              <w:rPr>
                <w:sz w:val="15"/>
                <w:szCs w:val="15"/>
              </w:rPr>
            </w:pPr>
            <w:r>
              <w:rPr>
                <w:sz w:val="15"/>
                <w:szCs w:val="15"/>
              </w:rPr>
              <w:t>0.536~0.883</w:t>
            </w:r>
          </w:p>
        </w:tc>
        <w:tc>
          <w:tcPr>
            <w:tcW w:w="977" w:type="dxa"/>
            <w:tcBorders>
              <w:top w:val="nil"/>
              <w:left w:val="nil"/>
              <w:bottom w:val="nil"/>
              <w:right w:val="nil"/>
            </w:tcBorders>
            <w:tcMar>
              <w:top w:w="0" w:type="dxa"/>
              <w:left w:w="108" w:type="dxa"/>
              <w:bottom w:w="0" w:type="dxa"/>
              <w:right w:w="108" w:type="dxa"/>
            </w:tcMar>
          </w:tcPr>
          <w:p>
            <w:pPr>
              <w:rPr>
                <w:sz w:val="15"/>
                <w:szCs w:val="15"/>
              </w:rPr>
            </w:pPr>
            <w:r>
              <w:rPr>
                <w:sz w:val="15"/>
                <w:szCs w:val="15"/>
              </w:rPr>
              <w:t>26.4~49.8</w:t>
            </w:r>
          </w:p>
        </w:tc>
        <w:tc>
          <w:tcPr>
            <w:tcW w:w="971" w:type="dxa"/>
            <w:tcBorders>
              <w:top w:val="nil"/>
              <w:left w:val="nil"/>
              <w:bottom w:val="nil"/>
              <w:right w:val="nil"/>
            </w:tcBorders>
            <w:tcMar>
              <w:top w:w="0" w:type="dxa"/>
              <w:left w:w="108" w:type="dxa"/>
              <w:bottom w:w="0" w:type="dxa"/>
              <w:right w:w="108" w:type="dxa"/>
            </w:tcMar>
          </w:tcPr>
          <w:p>
            <w:pPr>
              <w:rPr>
                <w:sz w:val="15"/>
                <w:szCs w:val="15"/>
              </w:rPr>
            </w:pPr>
            <w:r>
              <w:rPr>
                <w:sz w:val="15"/>
                <w:szCs w:val="15"/>
              </w:rPr>
              <w:t>13.9～28.2</w:t>
            </w:r>
          </w:p>
        </w:tc>
        <w:tc>
          <w:tcPr>
            <w:tcW w:w="1318" w:type="dxa"/>
            <w:tcBorders>
              <w:top w:val="nil"/>
              <w:left w:val="nil"/>
              <w:bottom w:val="nil"/>
              <w:right w:val="nil"/>
            </w:tcBorders>
            <w:tcMar>
              <w:top w:w="0" w:type="dxa"/>
              <w:left w:w="108" w:type="dxa"/>
              <w:bottom w:w="0" w:type="dxa"/>
              <w:right w:w="108" w:type="dxa"/>
            </w:tcMar>
          </w:tcPr>
          <w:p>
            <w:pPr>
              <w:rPr>
                <w:sz w:val="15"/>
                <w:szCs w:val="15"/>
              </w:rPr>
            </w:pPr>
            <w:r>
              <w:rPr>
                <w:sz w:val="15"/>
                <w:szCs w:val="15"/>
              </w:rPr>
              <w:t>10.2～18.8</w:t>
            </w:r>
          </w:p>
        </w:tc>
      </w:tr>
      <w:tr>
        <w:tblPrEx>
          <w:tblLayout w:type="fixed"/>
          <w:tblCellMar>
            <w:top w:w="0" w:type="dxa"/>
            <w:left w:w="108" w:type="dxa"/>
            <w:bottom w:w="0" w:type="dxa"/>
            <w:right w:w="108" w:type="dxa"/>
          </w:tblCellMar>
        </w:tblPrEx>
        <w:trPr>
          <w:trHeight w:val="0" w:hRule="atLeast"/>
          <w:jc w:val="center"/>
        </w:trPr>
        <w:tc>
          <w:tcPr>
            <w:tcW w:w="1193" w:type="dxa"/>
            <w:tcBorders>
              <w:top w:val="nil"/>
              <w:left w:val="nil"/>
              <w:bottom w:val="nil"/>
              <w:right w:val="nil"/>
            </w:tcBorders>
            <w:tcMar>
              <w:top w:w="0" w:type="dxa"/>
              <w:left w:w="108" w:type="dxa"/>
              <w:bottom w:w="0" w:type="dxa"/>
              <w:right w:w="108" w:type="dxa"/>
            </w:tcMar>
          </w:tcPr>
          <w:p>
            <w:pPr>
              <w:spacing w:line="360" w:lineRule="auto"/>
              <w:jc w:val="center"/>
              <w:rPr>
                <w:bCs/>
                <w:sz w:val="15"/>
                <w:szCs w:val="15"/>
              </w:rPr>
            </w:pPr>
            <w:r>
              <w:rPr>
                <w:bCs/>
                <w:sz w:val="15"/>
                <w:szCs w:val="15"/>
              </w:rPr>
              <w:t>液性指数</w:t>
            </w:r>
            <w:r>
              <w:rPr>
                <w:bCs/>
                <w:i/>
                <w:iCs/>
                <w:sz w:val="15"/>
                <w:szCs w:val="15"/>
              </w:rPr>
              <w:t>I</w:t>
            </w:r>
            <w:r>
              <w:rPr>
                <w:bCs/>
                <w:i/>
                <w:iCs/>
                <w:sz w:val="15"/>
                <w:szCs w:val="15"/>
                <w:vertAlign w:val="subscript"/>
              </w:rPr>
              <w:t>L</w:t>
            </w:r>
          </w:p>
        </w:tc>
        <w:tc>
          <w:tcPr>
            <w:tcW w:w="975" w:type="dxa"/>
            <w:tcBorders>
              <w:top w:val="nil"/>
              <w:left w:val="nil"/>
              <w:bottom w:val="nil"/>
              <w:right w:val="nil"/>
            </w:tcBorders>
            <w:tcMar>
              <w:top w:w="0" w:type="dxa"/>
              <w:left w:w="108" w:type="dxa"/>
              <w:bottom w:w="0" w:type="dxa"/>
              <w:right w:w="108" w:type="dxa"/>
            </w:tcMar>
          </w:tcPr>
          <w:p>
            <w:pPr>
              <w:rPr>
                <w:sz w:val="15"/>
                <w:szCs w:val="15"/>
              </w:rPr>
            </w:pPr>
            <w:r>
              <w:rPr>
                <w:sz w:val="15"/>
                <w:szCs w:val="15"/>
              </w:rPr>
              <w:t>压缩系数</w:t>
            </w:r>
            <w:r>
              <w:rPr>
                <w:i/>
                <w:iCs/>
                <w:sz w:val="15"/>
                <w:szCs w:val="15"/>
              </w:rPr>
              <w:t>α</w:t>
            </w:r>
            <w:r>
              <w:rPr>
                <w:i/>
                <w:iCs/>
                <w:sz w:val="15"/>
                <w:szCs w:val="15"/>
                <w:vertAlign w:val="subscript"/>
              </w:rPr>
              <w:t>1-2</w:t>
            </w:r>
            <w:r>
              <w:rPr>
                <w:sz w:val="15"/>
                <w:szCs w:val="15"/>
              </w:rPr>
              <w:t>/MPa</w:t>
            </w:r>
            <w:r>
              <w:rPr>
                <w:sz w:val="15"/>
                <w:szCs w:val="15"/>
                <w:vertAlign w:val="superscript"/>
              </w:rPr>
              <w:t>-1</w:t>
            </w:r>
          </w:p>
        </w:tc>
        <w:tc>
          <w:tcPr>
            <w:tcW w:w="1127" w:type="dxa"/>
            <w:tcBorders>
              <w:top w:val="nil"/>
              <w:left w:val="nil"/>
              <w:bottom w:val="nil"/>
              <w:right w:val="nil"/>
            </w:tcBorders>
            <w:tcMar>
              <w:top w:w="0" w:type="dxa"/>
              <w:left w:w="108" w:type="dxa"/>
              <w:bottom w:w="0" w:type="dxa"/>
              <w:right w:w="108" w:type="dxa"/>
            </w:tcMar>
          </w:tcPr>
          <w:p>
            <w:pPr>
              <w:rPr>
                <w:sz w:val="15"/>
                <w:szCs w:val="15"/>
              </w:rPr>
            </w:pPr>
            <w:r>
              <w:rPr>
                <w:sz w:val="15"/>
                <w:szCs w:val="15"/>
              </w:rPr>
              <w:t>压缩模量</w:t>
            </w:r>
            <w:r>
              <w:rPr>
                <w:i/>
                <w:iCs/>
                <w:sz w:val="15"/>
                <w:szCs w:val="15"/>
              </w:rPr>
              <w:t>E</w:t>
            </w:r>
            <w:r>
              <w:rPr>
                <w:i/>
                <w:iCs/>
                <w:sz w:val="15"/>
                <w:szCs w:val="15"/>
                <w:vertAlign w:val="subscript"/>
              </w:rPr>
              <w:t>s1-2</w:t>
            </w:r>
            <w:r>
              <w:rPr>
                <w:sz w:val="15"/>
                <w:szCs w:val="15"/>
              </w:rPr>
              <w:t>/MPa</w:t>
            </w:r>
          </w:p>
        </w:tc>
        <w:tc>
          <w:tcPr>
            <w:tcW w:w="977" w:type="dxa"/>
            <w:tcBorders>
              <w:top w:val="nil"/>
              <w:left w:val="nil"/>
              <w:bottom w:val="nil"/>
              <w:right w:val="nil"/>
            </w:tcBorders>
            <w:tcMar>
              <w:top w:w="0" w:type="dxa"/>
              <w:left w:w="108" w:type="dxa"/>
              <w:bottom w:w="0" w:type="dxa"/>
              <w:right w:w="108" w:type="dxa"/>
            </w:tcMar>
          </w:tcPr>
          <w:p>
            <w:pPr>
              <w:rPr>
                <w:sz w:val="15"/>
                <w:szCs w:val="15"/>
              </w:rPr>
            </w:pPr>
            <w:r>
              <w:rPr>
                <w:sz w:val="15"/>
                <w:szCs w:val="15"/>
              </w:rPr>
              <w:t>粘聚力标准值</w:t>
            </w:r>
            <w:r>
              <w:rPr>
                <w:i/>
                <w:iCs/>
                <w:sz w:val="15"/>
                <w:szCs w:val="15"/>
              </w:rPr>
              <w:t>C</w:t>
            </w:r>
            <w:r>
              <w:rPr>
                <w:i/>
                <w:iCs/>
                <w:sz w:val="15"/>
                <w:szCs w:val="15"/>
                <w:vertAlign w:val="subscript"/>
              </w:rPr>
              <w:t>k</w:t>
            </w:r>
            <w:r>
              <w:rPr>
                <w:sz w:val="15"/>
                <w:szCs w:val="15"/>
              </w:rPr>
              <w:t>/kPa</w:t>
            </w:r>
          </w:p>
        </w:tc>
        <w:tc>
          <w:tcPr>
            <w:tcW w:w="971" w:type="dxa"/>
            <w:tcBorders>
              <w:top w:val="nil"/>
              <w:left w:val="nil"/>
              <w:bottom w:val="nil"/>
              <w:right w:val="nil"/>
            </w:tcBorders>
            <w:tcMar>
              <w:top w:w="0" w:type="dxa"/>
              <w:left w:w="108" w:type="dxa"/>
              <w:bottom w:w="0" w:type="dxa"/>
              <w:right w:w="108" w:type="dxa"/>
            </w:tcMar>
          </w:tcPr>
          <w:p>
            <w:pPr>
              <w:rPr>
                <w:sz w:val="15"/>
                <w:szCs w:val="15"/>
              </w:rPr>
            </w:pPr>
            <w:r>
              <w:rPr>
                <w:sz w:val="15"/>
                <w:szCs w:val="15"/>
              </w:rPr>
              <w:t>内摩擦角标准值</w:t>
            </w:r>
            <w:r>
              <w:rPr>
                <w:i/>
                <w:iCs/>
                <w:sz w:val="15"/>
                <w:szCs w:val="15"/>
              </w:rPr>
              <w:t>Φ</w:t>
            </w:r>
            <w:r>
              <w:rPr>
                <w:i/>
                <w:iCs/>
                <w:sz w:val="15"/>
                <w:szCs w:val="15"/>
                <w:vertAlign w:val="subscript"/>
              </w:rPr>
              <w:t>k</w:t>
            </w:r>
            <w:r>
              <w:rPr>
                <w:i/>
                <w:iCs/>
                <w:sz w:val="15"/>
                <w:szCs w:val="15"/>
              </w:rPr>
              <w:t>/</w:t>
            </w:r>
            <w:r>
              <w:rPr>
                <w:sz w:val="15"/>
                <w:szCs w:val="15"/>
              </w:rPr>
              <w:t>（°）</w:t>
            </w:r>
          </w:p>
        </w:tc>
        <w:tc>
          <w:tcPr>
            <w:tcW w:w="1318" w:type="dxa"/>
            <w:tcBorders>
              <w:top w:val="nil"/>
              <w:left w:val="nil"/>
              <w:bottom w:val="nil"/>
              <w:right w:val="nil"/>
            </w:tcBorders>
            <w:tcMar>
              <w:top w:w="0" w:type="dxa"/>
              <w:left w:w="108" w:type="dxa"/>
              <w:bottom w:w="0" w:type="dxa"/>
              <w:right w:w="108" w:type="dxa"/>
            </w:tcMar>
          </w:tcPr>
          <w:p>
            <w:pPr>
              <w:rPr>
                <w:sz w:val="15"/>
                <w:szCs w:val="15"/>
              </w:rPr>
            </w:pPr>
            <w:r>
              <w:rPr>
                <w:sz w:val="15"/>
                <w:szCs w:val="15"/>
              </w:rPr>
              <w:t>自由膨胀率</w:t>
            </w:r>
            <w:r>
              <w:rPr>
                <w:i/>
                <w:iCs/>
                <w:sz w:val="15"/>
                <w:szCs w:val="15"/>
              </w:rPr>
              <w:t>δ</w:t>
            </w:r>
            <w:r>
              <w:rPr>
                <w:i/>
                <w:iCs/>
                <w:sz w:val="15"/>
                <w:szCs w:val="15"/>
                <w:vertAlign w:val="subscript"/>
              </w:rPr>
              <w:t xml:space="preserve">ef </w:t>
            </w:r>
            <w:r>
              <w:rPr>
                <w:i/>
                <w:iCs/>
                <w:sz w:val="15"/>
                <w:szCs w:val="15"/>
              </w:rPr>
              <w:t>/</w:t>
            </w:r>
            <w:r>
              <w:rPr>
                <w:sz w:val="15"/>
                <w:szCs w:val="15"/>
              </w:rPr>
              <w:t>%</w:t>
            </w:r>
          </w:p>
        </w:tc>
      </w:tr>
      <w:tr>
        <w:tblPrEx>
          <w:tblLayout w:type="fixed"/>
          <w:tblCellMar>
            <w:top w:w="0" w:type="dxa"/>
            <w:left w:w="108" w:type="dxa"/>
            <w:bottom w:w="0" w:type="dxa"/>
            <w:right w:w="108" w:type="dxa"/>
          </w:tblCellMar>
        </w:tblPrEx>
        <w:trPr>
          <w:trHeight w:val="606" w:hRule="atLeast"/>
          <w:jc w:val="center"/>
        </w:trPr>
        <w:tc>
          <w:tcPr>
            <w:tcW w:w="1193" w:type="dxa"/>
            <w:tcBorders>
              <w:top w:val="nil"/>
              <w:left w:val="nil"/>
              <w:bottom w:val="single" w:color="000000" w:sz="8" w:space="0"/>
              <w:right w:val="nil"/>
            </w:tcBorders>
            <w:tcMar>
              <w:top w:w="0" w:type="dxa"/>
              <w:left w:w="108" w:type="dxa"/>
              <w:bottom w:w="0" w:type="dxa"/>
              <w:right w:w="108" w:type="dxa"/>
            </w:tcMar>
          </w:tcPr>
          <w:p>
            <w:pPr>
              <w:spacing w:line="360" w:lineRule="auto"/>
              <w:jc w:val="center"/>
              <w:rPr>
                <w:bCs/>
                <w:sz w:val="15"/>
                <w:szCs w:val="15"/>
              </w:rPr>
            </w:pPr>
            <w:r>
              <w:rPr>
                <w:bCs/>
                <w:sz w:val="15"/>
                <w:szCs w:val="15"/>
              </w:rPr>
              <w:t>0.11～0.53</w:t>
            </w:r>
          </w:p>
        </w:tc>
        <w:tc>
          <w:tcPr>
            <w:tcW w:w="975" w:type="dxa"/>
            <w:tcBorders>
              <w:top w:val="nil"/>
              <w:left w:val="nil"/>
              <w:bottom w:val="single" w:color="000000" w:sz="8" w:space="0"/>
              <w:right w:val="nil"/>
            </w:tcBorders>
            <w:tcMar>
              <w:top w:w="0" w:type="dxa"/>
              <w:left w:w="108" w:type="dxa"/>
              <w:bottom w:w="0" w:type="dxa"/>
              <w:right w:w="108" w:type="dxa"/>
            </w:tcMar>
          </w:tcPr>
          <w:p>
            <w:pPr>
              <w:rPr>
                <w:sz w:val="15"/>
                <w:szCs w:val="15"/>
              </w:rPr>
            </w:pPr>
            <w:r>
              <w:rPr>
                <w:sz w:val="15"/>
                <w:szCs w:val="15"/>
              </w:rPr>
              <w:t>0.07～0.35</w:t>
            </w:r>
          </w:p>
        </w:tc>
        <w:tc>
          <w:tcPr>
            <w:tcW w:w="1127" w:type="dxa"/>
            <w:tcBorders>
              <w:top w:val="nil"/>
              <w:left w:val="nil"/>
              <w:bottom w:val="single" w:color="000000" w:sz="8" w:space="0"/>
              <w:right w:val="nil"/>
            </w:tcBorders>
            <w:tcMar>
              <w:top w:w="0" w:type="dxa"/>
              <w:left w:w="108" w:type="dxa"/>
              <w:bottom w:w="0" w:type="dxa"/>
              <w:right w:w="108" w:type="dxa"/>
            </w:tcMar>
          </w:tcPr>
          <w:p>
            <w:pPr>
              <w:rPr>
                <w:sz w:val="15"/>
                <w:szCs w:val="15"/>
              </w:rPr>
            </w:pPr>
            <w:r>
              <w:rPr>
                <w:sz w:val="15"/>
                <w:szCs w:val="15"/>
              </w:rPr>
              <w:t>7.3～23.0</w:t>
            </w:r>
          </w:p>
        </w:tc>
        <w:tc>
          <w:tcPr>
            <w:tcW w:w="977" w:type="dxa"/>
            <w:tcBorders>
              <w:top w:val="nil"/>
              <w:left w:val="nil"/>
              <w:bottom w:val="single" w:color="000000" w:sz="8" w:space="0"/>
              <w:right w:val="nil"/>
            </w:tcBorders>
            <w:tcMar>
              <w:top w:w="0" w:type="dxa"/>
              <w:left w:w="108" w:type="dxa"/>
              <w:bottom w:w="0" w:type="dxa"/>
              <w:right w:w="108" w:type="dxa"/>
            </w:tcMar>
          </w:tcPr>
          <w:p>
            <w:pPr>
              <w:rPr>
                <w:sz w:val="15"/>
                <w:szCs w:val="15"/>
              </w:rPr>
            </w:pPr>
            <w:r>
              <w:rPr>
                <w:sz w:val="15"/>
                <w:szCs w:val="15"/>
              </w:rPr>
              <w:t>31～97</w:t>
            </w:r>
          </w:p>
        </w:tc>
        <w:tc>
          <w:tcPr>
            <w:tcW w:w="971" w:type="dxa"/>
            <w:tcBorders>
              <w:top w:val="nil"/>
              <w:left w:val="nil"/>
              <w:bottom w:val="single" w:color="000000" w:sz="8" w:space="0"/>
              <w:right w:val="nil"/>
            </w:tcBorders>
            <w:tcMar>
              <w:top w:w="0" w:type="dxa"/>
              <w:left w:w="108" w:type="dxa"/>
              <w:bottom w:w="0" w:type="dxa"/>
              <w:right w:w="108" w:type="dxa"/>
            </w:tcMar>
          </w:tcPr>
          <w:p>
            <w:pPr>
              <w:rPr>
                <w:sz w:val="15"/>
                <w:szCs w:val="15"/>
              </w:rPr>
            </w:pPr>
            <w:r>
              <w:rPr>
                <w:sz w:val="15"/>
                <w:szCs w:val="15"/>
              </w:rPr>
              <w:t>10～30</w:t>
            </w:r>
          </w:p>
        </w:tc>
        <w:tc>
          <w:tcPr>
            <w:tcW w:w="1318" w:type="dxa"/>
            <w:tcBorders>
              <w:top w:val="nil"/>
              <w:left w:val="nil"/>
              <w:bottom w:val="single" w:color="000000" w:sz="8" w:space="0"/>
              <w:right w:val="nil"/>
            </w:tcBorders>
            <w:tcMar>
              <w:top w:w="0" w:type="dxa"/>
              <w:left w:w="108" w:type="dxa"/>
              <w:bottom w:w="0" w:type="dxa"/>
              <w:right w:w="108" w:type="dxa"/>
            </w:tcMar>
          </w:tcPr>
          <w:p>
            <w:pPr>
              <w:rPr>
                <w:sz w:val="15"/>
                <w:szCs w:val="15"/>
              </w:rPr>
            </w:pPr>
            <w:r>
              <w:rPr>
                <w:sz w:val="15"/>
                <w:szCs w:val="15"/>
              </w:rPr>
              <w:t>20～30</w:t>
            </w:r>
          </w:p>
        </w:tc>
      </w:tr>
    </w:tbl>
    <w:p>
      <w:pPr>
        <w:sectPr>
          <w:footnotePr>
            <w:numFmt w:val="decimal"/>
          </w:footnotePr>
          <w:endnotePr>
            <w:numFmt w:val="decimal"/>
          </w:endnotePr>
          <w:type w:val="continuous"/>
          <w:pgSz w:w="11906" w:h="16838"/>
          <w:pgMar w:top="1440" w:right="1800" w:bottom="1440" w:left="1800" w:header="720" w:footer="720" w:gutter="0"/>
          <w:paperSrc/>
        </w:sectPr>
      </w:pPr>
    </w:p>
    <w:p>
      <w:pPr>
        <w:spacing w:line="360" w:lineRule="auto"/>
        <w:ind w:firstLine="422"/>
      </w:pPr>
      <w:r>
        <w:rPr>
          <w:b/>
        </w:rPr>
        <w:t>3.4.1  密实性及其影响</w:t>
      </w:r>
      <w:r>
        <w:br w:type="textWrapping"/>
      </w:r>
    </w:p>
    <w:p>
      <w:pPr>
        <w:sectPr>
          <w:footnotePr>
            <w:numFmt w:val="decimal"/>
          </w:footnotePr>
          <w:endnotePr>
            <w:numFmt w:val="decimal"/>
          </w:endnotePr>
          <w:type w:val="continuous"/>
          <w:pgSz w:w="11906" w:h="16838"/>
          <w:pgMar w:top="1440" w:right="1800" w:bottom="1440" w:left="1800" w:header="720" w:footer="720" w:gutter="0"/>
          <w:paperSrc/>
        </w:sectPr>
      </w:pPr>
    </w:p>
    <w:p>
      <w:pPr>
        <w:spacing w:line="360" w:lineRule="auto"/>
        <w:ind w:firstLine="420"/>
        <w:rPr>
          <w:b/>
        </w:rPr>
      </w:pPr>
      <w:r>
        <w:t>　　根据地质勘察及土工试验资料，老黏土层的标准贯入实测值一般为10-20击/30cm，静力触探老黏土的 Ps值的平均值为5.03MPa，按照规范分类老黏土的密实度为中密。</w:t>
      </w:r>
    </w:p>
    <w:p>
      <w:pPr>
        <w:spacing w:line="360" w:lineRule="auto"/>
        <w:ind w:firstLine="420"/>
        <w:rPr>
          <w:b/>
        </w:rPr>
      </w:pPr>
      <w:r>
        <w:t>由于老粘土的密实性，老粘土表现出与一般粘性土和淤泥质土力学性质迥异的特点，承载机理与沉降特性主要区别如下：</w:t>
      </w:r>
    </w:p>
    <w:p>
      <w:pPr>
        <w:spacing w:line="360" w:lineRule="auto"/>
        <w:ind w:firstLine="420"/>
      </w:pPr>
      <w:r>
        <w:t>同一桩型、相同桩长的管桩在三种不同地层中荷载～沉降曲线如图2所示</w:t>
      </w:r>
      <w:r>
        <w:rPr>
          <w:vertAlign w:val="superscript"/>
        </w:rPr>
        <w:t>[3-4]</w:t>
      </w:r>
      <w:r>
        <w:t>。由图可知，在硬塑状老黏土地区时，Z1桩的Q-s曲线为缓变型曲线，主要为端承摩擦桩</w:t>
      </w:r>
    </w:p>
    <w:p>
      <w:pPr>
        <w:spacing w:line="360" w:lineRule="auto"/>
        <w:rPr>
          <w:b/>
        </w:rPr>
      </w:pPr>
      <w:r>
        <w:t>（L≥20m）或摩擦端承桩（L﹤20m）；在一般黏性土（软塑）地区时，Z2桩的Q-s曲线为陡降型；在淤泥质土地区时，Z3桩的Q-s曲线为陡降型，主要为摩擦桩；Z1桩的极限承载力分别为Z2、Z3桩的1.75倍与4.0倍。可见，管桩在不同土层中的承载特性区别较大，在桩型、桩长相同的情况下，管桩在老黏土中承载力最高，且沉降稳定不发生突变。</w:t>
      </w:r>
    </w:p>
    <w:p>
      <w:pPr>
        <w:spacing w:line="360" w:lineRule="auto"/>
        <w:ind w:firstLine="420"/>
        <w:jc w:val="left"/>
      </w:pPr>
      <w:r>
        <w:drawing>
          <wp:inline distT="0" distB="0" distL="0" distR="0">
            <wp:extent cx="2104390" cy="1593215"/>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6"/>
                    <a:stretch>
                      <a:fillRect/>
                    </a:stretch>
                  </pic:blipFill>
                  <pic:spPr>
                    <a:xfrm>
                      <a:off x="0" y="0"/>
                      <a:ext cx="2104390" cy="1593215"/>
                    </a:xfrm>
                    <a:prstGeom prst="rect">
                      <a:avLst/>
                    </a:prstGeom>
                    <a:noFill/>
                    <a:ln w="12700">
                      <a:noFill/>
                    </a:ln>
                  </pic:spPr>
                </pic:pic>
              </a:graphicData>
            </a:graphic>
          </wp:inline>
        </w:drawing>
      </w:r>
    </w:p>
    <w:p>
      <w:pPr>
        <w:spacing w:line="360" w:lineRule="auto"/>
        <w:ind w:firstLine="300"/>
        <w:jc w:val="center"/>
        <w:rPr>
          <w:sz w:val="15"/>
          <w:szCs w:val="15"/>
        </w:rPr>
      </w:pPr>
      <w:r>
        <w:rPr>
          <w:sz w:val="15"/>
          <w:szCs w:val="15"/>
        </w:rPr>
        <w:t>图2 不同土层中PHC-AB600(130)的Q～s曲线</w:t>
      </w:r>
    </w:p>
    <w:p>
      <w:pPr>
        <w:spacing w:line="360" w:lineRule="auto"/>
        <w:ind w:firstLine="420"/>
        <w:jc w:val="left"/>
      </w:pPr>
      <w:r>
        <w:t>结合老黏土地区某PHC桩工程的静载试验，进行PHC桩（PHC-AB600-130）竖向抗压承载特性的数值模拟</w:t>
      </w:r>
      <w:r>
        <w:rPr>
          <w:vertAlign w:val="superscript"/>
        </w:rPr>
        <w:t>[3]</w:t>
      </w:r>
      <w:r>
        <w:t>。计算结果显示，在桩顶荷载较小时，桩身上部土层的摩阻力发挥较大，下部土层摩阻力发挥较小，随着桩顶荷载的增加，桩身上部的桩侧摩阻力开始逐渐发挥，计算所得出的桩侧摩阻力极限值比规范推荐值大25%左右。桩端阻力与桩端沉降随桩顶荷载的增加而增加，桩端阻力随桩端沉降的增加而增大，较小的桩端沉降可使桩端阻力开始发挥。对于粘性土，极限桩端阻力比规范值大46%～59.3%。</w:t>
      </w:r>
    </w:p>
    <w:p>
      <w:pPr>
        <w:spacing w:line="360" w:lineRule="auto"/>
        <w:ind w:firstLine="420"/>
      </w:pPr>
      <w:r>
        <w:t>因此，对于老黏土地层，勘察设计中所采用的桩侧摩阻力和桩端阻力取值偏低，且开口型管桩承载力计算公式中未考虑管桩内壁的侧摩阻力，使得老黏土地区普遍存在PHC桩施工时很难达到设计桩长的现象。</w:t>
      </w:r>
    </w:p>
    <w:p>
      <w:pPr>
        <w:spacing w:line="360" w:lineRule="auto"/>
        <w:ind w:firstLine="420"/>
      </w:pPr>
      <w:r>
        <w:t>另外，管桩施工过程中进入层厚密实的黏土地层后，沉桩阻力大，特别是桩端阻力，沉桩阻力随着进入黏土地层的深度增加而增大，使得压桩力接近甚至超过管桩桩身极限强度后出现桩身压碎破坏，即工程上所谓的爆桩现象。</w:t>
      </w:r>
      <w:r>
        <w:br w:type="textWrapping"/>
      </w:r>
      <w:r>
        <w:rPr>
          <w:b/>
        </w:rPr>
        <w:t>　　3.4.2 低压缩性、低渗透性及对工程建设的影响</w:t>
      </w:r>
      <w:r>
        <w:rPr>
          <w:b/>
        </w:rPr>
        <w:br w:type="textWrapping"/>
      </w:r>
      <w:r>
        <w:rPr>
          <w:b/>
        </w:rPr>
        <w:t>　　</w:t>
      </w:r>
      <w:r>
        <w:t>老黏土层压缩系数为0.07~0.35MPa，属于中~低压缩性土；渗透系数3.0E-8~2.0E-7 cm/s，土体可被视为隔水层，原因在于其所含水主要为结合水，透水和给水能力很弱。自由水只有克服结合水的抗剪强度后才能开始渗流，其渗透系数一般小于10-7 。管桩沉桩过程中土体产生扰动且产生超孔隙水压力，相较于高压缩性的软土地区，老黏土地区管桩沉桩后超孔隙水压力消散的时间及受扰动的土体重新固结的时间均较长，通常情况下老黏土地层存在以下两个问题：</w:t>
      </w:r>
    </w:p>
    <w:p>
      <w:pPr>
        <w:spacing w:line="360" w:lineRule="auto"/>
        <w:ind w:firstLine="420"/>
      </w:pPr>
      <w:r>
        <w:t>（1） 最大压桩力与单桩极限承载力的对应关系的确定</w:t>
      </w:r>
      <w:r>
        <w:br w:type="textWrapping"/>
      </w:r>
      <w:r>
        <w:t>　　PHC桩的终压力与极限承载力主要与桩长、桩周土及桩端土的性质有关。一般情况下，黏性土中长度较长的静压桩的极限承载力比压桩施工时的终压力要大，但是黏性土中的短桩的极限承载力可能达不到桩的终压力。</w:t>
      </w:r>
    </w:p>
    <w:p>
      <w:pPr>
        <w:sectPr>
          <w:footnotePr>
            <w:numFmt w:val="decimal"/>
          </w:footnotePr>
          <w:endnotePr>
            <w:numFmt w:val="decimal"/>
          </w:endnotePr>
          <w:type w:val="continuous"/>
          <w:pgSz w:w="11906" w:h="16838"/>
          <w:pgMar w:top="1440" w:right="1800" w:bottom="1440" w:left="1800" w:header="720" w:footer="720" w:gutter="0"/>
          <w:paperSrc/>
          <w:cols w:space="425" w:num="2"/>
        </w:sectPr>
      </w:pPr>
    </w:p>
    <w:p>
      <w:pPr>
        <w:spacing w:line="360" w:lineRule="auto"/>
        <w:ind w:firstLine="210"/>
      </w:pPr>
      <w:r>
        <w:t>根据老黏土地区工程实例数据进行分析，可利用如下经验公式确定老黏土地区压桩力与极限承载力之间的关系</w:t>
      </w:r>
      <w:r>
        <w:rPr>
          <w:vertAlign w:val="superscript"/>
        </w:rPr>
        <w:t>[5]</w:t>
      </w:r>
      <w:r>
        <w:t>：</w:t>
      </w:r>
    </w:p>
    <w:p>
      <w:pPr>
        <w:spacing w:line="360" w:lineRule="auto"/>
        <w:ind w:firstLine="420"/>
        <w:jc w:val="center"/>
      </w:pPr>
      <w:r>
        <w:drawing>
          <wp:inline distT="0" distB="0" distL="0" distR="0">
            <wp:extent cx="1263015" cy="38671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rcRect r="34480"/>
                    <a:stretch>
                      <a:fillRect/>
                    </a:stretch>
                  </pic:blipFill>
                  <pic:spPr>
                    <a:xfrm>
                      <a:off x="0" y="0"/>
                      <a:ext cx="1263015" cy="386715"/>
                    </a:xfrm>
                    <a:prstGeom prst="rect">
                      <a:avLst/>
                    </a:prstGeom>
                    <a:noFill/>
                    <a:ln w="12700">
                      <a:noFill/>
                    </a:ln>
                  </pic:spPr>
                </pic:pic>
              </a:graphicData>
            </a:graphic>
          </wp:inline>
        </w:drawing>
      </w:r>
    </w:p>
    <w:p>
      <w:pPr>
        <w:spacing w:line="360" w:lineRule="auto"/>
        <w:ind w:firstLine="420"/>
      </w:pPr>
      <w:r>
        <w:t>式中：</w:t>
      </w:r>
      <w:r>
        <w:drawing>
          <wp:inline distT="0" distB="0" distL="0" distR="0">
            <wp:extent cx="238125" cy="180975"/>
            <wp:effectExtent l="0" t="0" r="0"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8"/>
                    <a:stretch>
                      <a:fillRect/>
                    </a:stretch>
                  </pic:blipFill>
                  <pic:spPr>
                    <a:xfrm>
                      <a:off x="0" y="0"/>
                      <a:ext cx="238125" cy="180975"/>
                    </a:xfrm>
                    <a:prstGeom prst="rect">
                      <a:avLst/>
                    </a:prstGeom>
                    <a:noFill/>
                    <a:ln w="12700">
                      <a:noFill/>
                    </a:ln>
                  </pic:spPr>
                </pic:pic>
              </a:graphicData>
            </a:graphic>
          </wp:inline>
        </w:drawing>
      </w:r>
      <w:r>
        <w:t>为压桩力，</w:t>
      </w:r>
      <w:r>
        <w:drawing>
          <wp:inline distT="0" distB="0" distL="0" distR="0">
            <wp:extent cx="190500" cy="190500"/>
            <wp:effectExtent l="0" t="0" r="0" b="0"/>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r:embed="rId9"/>
                    <a:stretch>
                      <a:fillRect/>
                    </a:stretch>
                  </pic:blipFill>
                  <pic:spPr>
                    <a:xfrm>
                      <a:off x="0" y="0"/>
                      <a:ext cx="190500" cy="190500"/>
                    </a:xfrm>
                    <a:prstGeom prst="rect">
                      <a:avLst/>
                    </a:prstGeom>
                    <a:noFill/>
                    <a:ln w="12700">
                      <a:noFill/>
                    </a:ln>
                  </pic:spPr>
                </pic:pic>
              </a:graphicData>
            </a:graphic>
          </wp:inline>
        </w:drawing>
      </w:r>
      <w:r>
        <w:t>为单桩极限承载力，β为不同持力土层修正系数，一般对于15~22m之间的中长桩，粉砂持力层取1.4~1.7，对于6~15m之间的短桩在粉砂持力层下取1.2~1.6，黏土持力层均取1.7~2.1。</w:t>
      </w:r>
    </w:p>
    <w:p>
      <w:pPr>
        <w:spacing w:line="360" w:lineRule="auto"/>
        <w:ind w:firstLine="420"/>
      </w:pPr>
      <w:r>
        <w:t>经计算工人村车辆段停车列检库库外平交道基础PHC桩单桩极限承载力为521kN，利用上述公式可求得压桩力为315kN。</w:t>
      </w:r>
      <w:r>
        <w:br w:type="textWrapping"/>
      </w:r>
      <w:r>
        <w:t xml:space="preserve">      （2）管桩承载力时效性</w:t>
      </w:r>
      <w:r>
        <w:br w:type="textWrapping"/>
      </w:r>
      <w:r>
        <w:t>　　管桩的极限承载力随时间增长而增长，桩基施工对周围土体产生扰动。成桩后，桩周土体的含水量降低，孔隙比减小，压缩模量增大，标贯阻力增大，承载力逐步提高。通过对老黏土地区管桩不同休止期静载试验数据的统计分析，可见管桩承载力增长率与休止期天数之间主要呈对数关系，如图5所示。</w:t>
      </w:r>
      <w:r>
        <w:br w:type="textWrapping"/>
      </w:r>
      <w:r>
        <w:t>　　PHC桩在不同休止期的极限承载力增长率可表述为</w:t>
      </w:r>
      <w:r>
        <w:rPr>
          <w:vertAlign w:val="superscript"/>
        </w:rPr>
        <w:t>[5]</w:t>
      </w:r>
      <w:r>
        <w:t xml:space="preserve">： </w:t>
      </w:r>
    </w:p>
    <w:p>
      <w:pPr>
        <w:spacing w:line="360" w:lineRule="auto"/>
        <w:ind w:firstLine="420"/>
        <w:jc w:val="center"/>
      </w:pPr>
      <w:r>
        <w:drawing>
          <wp:inline distT="0" distB="0" distL="0" distR="0">
            <wp:extent cx="1615440" cy="30480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rcRect r="31830"/>
                    <a:stretch>
                      <a:fillRect/>
                    </a:stretch>
                  </pic:blipFill>
                  <pic:spPr>
                    <a:xfrm>
                      <a:off x="0" y="0"/>
                      <a:ext cx="1615440" cy="304800"/>
                    </a:xfrm>
                    <a:prstGeom prst="rect">
                      <a:avLst/>
                    </a:prstGeom>
                    <a:noFill/>
                    <a:ln w="12700">
                      <a:noFill/>
                    </a:ln>
                  </pic:spPr>
                </pic:pic>
              </a:graphicData>
            </a:graphic>
          </wp:inline>
        </w:drawing>
      </w:r>
    </w:p>
    <w:p>
      <w:pPr>
        <w:spacing w:line="360" w:lineRule="auto"/>
        <w:ind w:firstLine="420"/>
      </w:pPr>
      <w:r>
        <w:t>　　式中</w:t>
      </w:r>
      <w:r>
        <w:drawing>
          <wp:inline distT="0" distB="0" distL="0" distR="0">
            <wp:extent cx="161925" cy="1714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161925" cy="171450"/>
                    </a:xfrm>
                    <a:prstGeom prst="rect">
                      <a:avLst/>
                    </a:prstGeom>
                    <a:noFill/>
                    <a:ln w="12700">
                      <a:noFill/>
                    </a:ln>
                  </pic:spPr>
                </pic:pic>
              </a:graphicData>
            </a:graphic>
          </wp:inline>
        </w:drawing>
      </w:r>
      <w:r>
        <w:t>为单桩初始承载力，终压力可看作为对应不同休止期时的单桩极限承载力。</w:t>
      </w:r>
    </w:p>
    <w:p>
      <w:pPr>
        <w:spacing w:line="360" w:lineRule="auto"/>
        <w:ind w:firstLine="420"/>
        <w:jc w:val="center"/>
      </w:pPr>
      <w:r>
        <w:drawing>
          <wp:inline distT="0" distB="0" distL="0" distR="0">
            <wp:extent cx="2409190" cy="1768475"/>
            <wp:effectExtent l="0" t="0" r="0" b="0"/>
            <wp:docPr id="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9"/>
                    <pic:cNvPicPr>
                      <a:picLocks noChangeAspect="1"/>
                    </pic:cNvPicPr>
                  </pic:nvPicPr>
                  <pic:blipFill>
                    <a:blip r:embed="rId12"/>
                    <a:srcRect r="3730"/>
                    <a:stretch>
                      <a:fillRect/>
                    </a:stretch>
                  </pic:blipFill>
                  <pic:spPr>
                    <a:xfrm>
                      <a:off x="0" y="0"/>
                      <a:ext cx="2409190" cy="1768475"/>
                    </a:xfrm>
                    <a:prstGeom prst="rect">
                      <a:avLst/>
                    </a:prstGeom>
                    <a:noFill/>
                    <a:ln w="12700">
                      <a:noFill/>
                    </a:ln>
                  </pic:spPr>
                </pic:pic>
              </a:graphicData>
            </a:graphic>
          </wp:inline>
        </w:drawing>
      </w:r>
    </w:p>
    <w:p>
      <w:pPr>
        <w:spacing w:line="360" w:lineRule="auto"/>
        <w:jc w:val="center"/>
      </w:pPr>
      <w:r>
        <w:rPr>
          <w:sz w:val="15"/>
          <w:szCs w:val="15"/>
        </w:rPr>
        <w:t>图3 承载力增长率与休止期关系曲线(桩径500mm)</w:t>
      </w:r>
      <w:r>
        <w:rPr>
          <w:sz w:val="15"/>
          <w:szCs w:val="15"/>
        </w:rPr>
        <w:br w:type="textWrapping"/>
      </w:r>
      <w:r>
        <w:t>运用回归方法研究单桩极限承载力增长率与休止期的关系</w:t>
      </w:r>
      <w:r>
        <w:rPr>
          <w:vertAlign w:val="superscript"/>
        </w:rPr>
        <w:t>[7]</w:t>
      </w:r>
      <w:r>
        <w:t>，如下式所示：</w:t>
      </w:r>
      <w:r>
        <w:br w:type="textWrapping"/>
      </w:r>
      <w:r>
        <w:t xml:space="preserve">　　　桩径500mm： </w:t>
      </w:r>
      <w:r>
        <w:drawing>
          <wp:inline distT="0" distB="0" distL="0" distR="0">
            <wp:extent cx="1876425" cy="171450"/>
            <wp:effectExtent l="0" t="0" r="0"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3"/>
                    <a:stretch>
                      <a:fillRect/>
                    </a:stretch>
                  </pic:blipFill>
                  <pic:spPr>
                    <a:xfrm>
                      <a:off x="0" y="0"/>
                      <a:ext cx="1876425" cy="171450"/>
                    </a:xfrm>
                    <a:prstGeom prst="rect">
                      <a:avLst/>
                    </a:prstGeom>
                    <a:noFill/>
                    <a:ln w="12700">
                      <a:noFill/>
                    </a:ln>
                  </pic:spPr>
                </pic:pic>
              </a:graphicData>
            </a:graphic>
          </wp:inline>
        </w:drawing>
      </w:r>
    </w:p>
    <w:p>
      <w:pPr>
        <w:spacing w:line="360" w:lineRule="auto"/>
        <w:ind w:firstLine="210"/>
        <w:jc w:val="left"/>
      </w:pPr>
      <w:r>
        <w:t>PHC管桩在休止期为25d时，管桩极限承载力较施工当天可提高101%～132%，桩径越大，则提高幅度越大，并且当休止期在30～45d时，管桩极限承载力趋于稳定，建议休止期取值为28~30d。</w:t>
      </w:r>
    </w:p>
    <w:p>
      <w:pPr>
        <w:spacing w:line="360" w:lineRule="auto"/>
        <w:ind w:firstLine="210"/>
        <w:jc w:val="left"/>
      </w:pPr>
      <w:r>
        <w:t>（3）预应力管桩沉桩时，由于老黏土层的低压缩性及低渗透性，孔隙水压力消散时间更长，土体固结更慢从而更易发生挤土效应：由于沉桩引起的孔隙水压力把相邻的桩推向一侧，形成对桩的侧向压力引起附近桩身倾斜；当桩进入黏土层后，由于土壤密实，土层体积被压缩而产生的附加孔隙水压力迅速增大，当孔隙水压力大于上部土层自重及土层抗剪强度之和时，土被挤到极限密度而向上隆起，桩周边的土层将受力向上方移动，形成地面隆起，隆起时产生的摩擦力使桩产生上浮。</w:t>
      </w:r>
    </w:p>
    <w:p>
      <w:pPr>
        <w:sectPr>
          <w:footnotePr>
            <w:numFmt w:val="decimal"/>
          </w:footnotePr>
          <w:endnotePr>
            <w:numFmt w:val="decimal"/>
          </w:endnotePr>
          <w:type w:val="continuous"/>
          <w:pgSz w:w="11906" w:h="16838"/>
          <w:pgMar w:top="1440" w:right="1800" w:bottom="1440" w:left="1800" w:header="720" w:footer="720" w:gutter="0"/>
          <w:paperSrc/>
          <w:cols w:space="425" w:num="2"/>
        </w:sectPr>
      </w:pPr>
    </w:p>
    <w:p>
      <w:pPr>
        <w:spacing w:line="360" w:lineRule="auto"/>
        <w:ind w:firstLine="422"/>
      </w:pPr>
      <w:r>
        <w:rPr>
          <w:b/>
        </w:rPr>
        <w:t>3.4.3 非饱和性的影响</w:t>
      </w:r>
      <w:r>
        <w:br w:type="textWrapping"/>
      </w:r>
    </w:p>
    <w:p>
      <w:pPr>
        <w:sectPr>
          <w:footnotePr>
            <w:numFmt w:val="decimal"/>
          </w:footnotePr>
          <w:endnotePr>
            <w:numFmt w:val="decimal"/>
          </w:endnotePr>
          <w:type w:val="continuous"/>
          <w:pgSz w:w="11906" w:h="16838"/>
          <w:pgMar w:top="1440" w:right="1800" w:bottom="1440" w:left="1800" w:header="720" w:footer="720" w:gutter="0"/>
          <w:paperSrc/>
        </w:sectPr>
      </w:pPr>
    </w:p>
    <w:p>
      <w:pPr>
        <w:spacing w:line="360" w:lineRule="auto"/>
        <w:ind w:firstLine="420"/>
      </w:pPr>
      <w:r>
        <w:t>老黏土的饱和度约为94%，为非饱和土。土体浸水后，土体吸水饱和，其孔隙比增大，强度降低，渗透系数明显增大。非饱和土的粘聚力与土体孔隙比息息相关，尤其是非饱和土的吸力，最终影响管桩的端阻力和沉桩过程中的土体扰动区域的大小。</w:t>
      </w:r>
      <w:r>
        <w:br w:type="textWrapping"/>
      </w:r>
      <w:r>
        <w:rPr>
          <w:b/>
          <w:bCs/>
        </w:rPr>
        <w:t xml:space="preserve">    3.5  针对PHC桩在老黏土地层中的常见问题采取的对策</w:t>
      </w:r>
      <w:r>
        <w:rPr>
          <w:b/>
          <w:bCs/>
        </w:rPr>
        <w:br w:type="textWrapping"/>
      </w:r>
      <w:r>
        <w:t>　</w:t>
      </w:r>
      <w:r>
        <w:rPr>
          <w:b/>
        </w:rPr>
        <w:t>　3.5.1 设计中主要采取的措施</w:t>
      </w:r>
    </w:p>
    <w:p>
      <w:pPr>
        <w:spacing w:line="360" w:lineRule="auto"/>
        <w:ind w:firstLine="420"/>
      </w:pPr>
      <w:r>
        <w:t>针对老黏土地层施工中挤土效应产生的桩体上浮或倾斜等问题，设计时可采取以下主要对策：</w:t>
      </w:r>
    </w:p>
    <w:p>
      <w:pPr>
        <w:spacing w:line="360" w:lineRule="auto"/>
        <w:ind w:firstLine="420"/>
      </w:pPr>
      <w:r>
        <w:t xml:space="preserve"> （1）在地下水或地基土对混凝土、钢筋和钢零部件有弱腐蚀或中腐蚀环境下应用的管桩基础工程，应选用AB型或B型、C型且桩身合缝和端头处不得有修补痕迹的管桩，不得选用φ300管桩，同时应按规定根据不同的腐蚀性等级采用相应的防腐蚀措施；</w:t>
      </w:r>
    </w:p>
    <w:p>
      <w:pPr>
        <w:spacing w:line="360" w:lineRule="auto"/>
        <w:ind w:firstLine="420"/>
      </w:pPr>
      <w:r>
        <w:t>（2）预钻孔</w:t>
      </w:r>
      <w:r>
        <w:br w:type="textWrapping"/>
      </w:r>
      <w:r>
        <w:t>　　预钻孔的孔径不应大于静压桩的直径，一般取为桩径的1/3-2/3；在施工中要严格注意桩孔原位取土。</w:t>
      </w:r>
      <w:r>
        <w:br w:type="textWrapping"/>
      </w:r>
      <w:r>
        <w:t xml:space="preserve">    （3）增大桩间距</w:t>
      </w:r>
      <w:r>
        <w:br w:type="textWrapping"/>
      </w:r>
      <w:r>
        <w:t>　　«铁路地基处理技术规程»中规定管桩桩间距宜为4~5D，老黏土地区管桩间距不得小于3.5D，宜取4.0～4.5D（D为桩径），通过检算桩间距确定为4.4D=2.2m。</w:t>
      </w:r>
      <w:r>
        <w:br w:type="textWrapping"/>
      </w:r>
      <w:r>
        <w:t>　　（4）抱箍式连接管桩</w:t>
      </w:r>
      <w:r>
        <w:br w:type="textWrapping"/>
      </w:r>
      <w:r>
        <w:t>　　可参照标准图集《先张法预应力混凝土抗拔管桩抱箍式连接》（DB/TJ 11-166）进行设计</w:t>
      </w:r>
      <w:r>
        <w:rPr>
          <w:vertAlign w:val="superscript"/>
        </w:rPr>
        <w:t>[9]</w:t>
      </w:r>
      <w:r>
        <w:t>。</w:t>
      </w:r>
    </w:p>
    <w:p>
      <w:pPr>
        <w:spacing w:line="360" w:lineRule="auto"/>
        <w:ind w:firstLine="420"/>
      </w:pPr>
      <w:r>
        <w:t>（5）沉桩深度达不到设计要求</w:t>
      </w:r>
      <w:r>
        <w:br w:type="textWrapping"/>
      </w:r>
      <w:r>
        <w:t>针对老粘土地层中PHC桩桩长按照常规方法设计，侧摩阻力及端阻力均按照《建筑桩基技术规范》中建议取值，桩长偏长的现象，工人村车辆段管桩设计中避免采用开口型管桩，桩底均采用钢筋混凝土预制桩尖，同时对管桩侧摩阻力及端阻力均采用了系数进行修正</w:t>
      </w:r>
      <w:r>
        <w:rPr>
          <w:vertAlign w:val="superscript"/>
        </w:rPr>
        <w:t>[8]</w:t>
      </w:r>
      <w:r>
        <w:t>。参考相关资料，增强系数可参考下表取值：</w:t>
      </w:r>
    </w:p>
    <w:p>
      <w:pPr>
        <w:sectPr>
          <w:footnotePr>
            <w:numFmt w:val="decimal"/>
          </w:footnotePr>
          <w:endnotePr>
            <w:numFmt w:val="decimal"/>
          </w:endnotePr>
          <w:type w:val="continuous"/>
          <w:pgSz w:w="11906" w:h="16838"/>
          <w:pgMar w:top="1440" w:right="1800" w:bottom="1440" w:left="1800" w:header="720" w:footer="720" w:gutter="0"/>
          <w:paperSrc/>
          <w:cols w:space="425" w:num="2"/>
        </w:sectPr>
      </w:pPr>
    </w:p>
    <w:p>
      <w:pPr>
        <w:spacing w:line="360" w:lineRule="auto"/>
        <w:ind w:firstLine="361"/>
        <w:jc w:val="center"/>
        <w:rPr>
          <w:b/>
          <w:sz w:val="18"/>
          <w:szCs w:val="18"/>
        </w:rPr>
      </w:pPr>
      <w:r>
        <w:rPr>
          <w:b/>
          <w:sz w:val="18"/>
          <w:szCs w:val="18"/>
        </w:rPr>
        <w:t>表4 管桩的侧摩阻力及端阻力增强系数</w:t>
      </w:r>
    </w:p>
    <w:p>
      <w:pPr>
        <w:sectPr>
          <w:footnotePr>
            <w:numFmt w:val="decimal"/>
          </w:footnotePr>
          <w:endnotePr>
            <w:numFmt w:val="decimal"/>
          </w:endnotePr>
          <w:type w:val="continuous"/>
          <w:pgSz w:w="11906" w:h="16838"/>
          <w:pgMar w:top="1440" w:right="1800" w:bottom="1440" w:left="1800" w:header="720" w:footer="720" w:gutter="0"/>
          <w:paperSrc/>
        </w:sectPr>
      </w:pPr>
    </w:p>
    <w:tbl>
      <w:tblPr>
        <w:tblStyle w:val="7"/>
        <w:tblW w:w="6378" w:type="dxa"/>
        <w:tblInd w:w="993" w:type="dxa"/>
        <w:tblLayout w:type="fixed"/>
        <w:tblCellMar>
          <w:top w:w="0" w:type="dxa"/>
          <w:left w:w="108" w:type="dxa"/>
          <w:bottom w:w="0" w:type="dxa"/>
          <w:right w:w="108" w:type="dxa"/>
        </w:tblCellMar>
      </w:tblPr>
      <w:tblGrid>
        <w:gridCol w:w="1842"/>
        <w:gridCol w:w="2127"/>
        <w:gridCol w:w="2409"/>
      </w:tblGrid>
      <w:tr>
        <w:tblPrEx>
          <w:tblLayout w:type="fixed"/>
          <w:tblCellMar>
            <w:top w:w="0" w:type="dxa"/>
            <w:left w:w="108" w:type="dxa"/>
            <w:bottom w:w="0" w:type="dxa"/>
            <w:right w:w="108" w:type="dxa"/>
          </w:tblCellMar>
        </w:tblPrEx>
        <w:trPr>
          <w:trHeight w:val="557" w:hRule="atLeast"/>
        </w:trPr>
        <w:tc>
          <w:tcPr>
            <w:tcW w:w="1842" w:type="dxa"/>
            <w:tcBorders>
              <w:top w:val="single" w:color="000000" w:sz="8" w:space="0"/>
              <w:left w:val="nil"/>
              <w:bottom w:val="single" w:color="000000" w:sz="8" w:space="0"/>
              <w:right w:val="nil"/>
            </w:tcBorders>
            <w:tcMar>
              <w:top w:w="0" w:type="dxa"/>
              <w:left w:w="108" w:type="dxa"/>
              <w:bottom w:w="0" w:type="dxa"/>
              <w:right w:w="108" w:type="dxa"/>
            </w:tcMar>
          </w:tcPr>
          <w:p>
            <w:pPr>
              <w:spacing w:line="360" w:lineRule="auto"/>
              <w:ind w:firstLine="300"/>
              <w:jc w:val="center"/>
              <w:rPr>
                <w:rFonts w:ascii="宋体" w:hAnsi="宋体" w:eastAsia="宋体"/>
                <w:bCs/>
                <w:sz w:val="15"/>
                <w:szCs w:val="15"/>
              </w:rPr>
            </w:pPr>
            <w:r>
              <w:rPr>
                <w:rFonts w:hint="eastAsia" w:ascii="宋体" w:hAnsi="宋体" w:eastAsia="宋体"/>
                <w:bCs/>
                <w:sz w:val="15"/>
                <w:szCs w:val="15"/>
              </w:rPr>
              <w:t>土（岩）的类别</w:t>
            </w:r>
          </w:p>
        </w:tc>
        <w:tc>
          <w:tcPr>
            <w:tcW w:w="2127" w:type="dxa"/>
            <w:tcBorders>
              <w:top w:val="single" w:color="000000" w:sz="8" w:space="0"/>
              <w:left w:val="nil"/>
              <w:bottom w:val="single" w:color="000000" w:sz="8" w:space="0"/>
              <w:right w:val="nil"/>
            </w:tcBorders>
            <w:tcMar>
              <w:top w:w="0" w:type="dxa"/>
              <w:left w:w="108" w:type="dxa"/>
              <w:bottom w:w="0" w:type="dxa"/>
              <w:right w:w="108" w:type="dxa"/>
            </w:tcMar>
          </w:tcPr>
          <w:p>
            <w:pPr>
              <w:rPr>
                <w:rFonts w:ascii="宋体" w:hAnsi="宋体" w:eastAsia="宋体"/>
                <w:bCs/>
                <w:sz w:val="15"/>
                <w:szCs w:val="15"/>
              </w:rPr>
            </w:pPr>
            <w:r>
              <w:rPr>
                <w:rFonts w:hint="eastAsia" w:ascii="宋体" w:hAnsi="宋体" w:eastAsia="宋体"/>
                <w:bCs/>
                <w:sz w:val="15"/>
                <w:szCs w:val="15"/>
              </w:rPr>
              <w:t>侧摩阻力增强系数</w:t>
            </w:r>
          </w:p>
        </w:tc>
        <w:tc>
          <w:tcPr>
            <w:tcW w:w="2409" w:type="dxa"/>
            <w:tcBorders>
              <w:top w:val="single" w:color="000000" w:sz="8" w:space="0"/>
              <w:left w:val="nil"/>
              <w:bottom w:val="single" w:color="000000" w:sz="8" w:space="0"/>
              <w:right w:val="nil"/>
            </w:tcBorders>
            <w:tcMar>
              <w:top w:w="0" w:type="dxa"/>
              <w:left w:w="108" w:type="dxa"/>
              <w:bottom w:w="0" w:type="dxa"/>
              <w:right w:w="108" w:type="dxa"/>
            </w:tcMar>
          </w:tcPr>
          <w:p>
            <w:pPr>
              <w:rPr>
                <w:rFonts w:ascii="宋体" w:hAnsi="宋体" w:eastAsia="宋体"/>
                <w:bCs/>
                <w:sz w:val="15"/>
                <w:szCs w:val="15"/>
              </w:rPr>
            </w:pPr>
            <w:r>
              <w:rPr>
                <w:rFonts w:hint="eastAsia" w:ascii="宋体" w:hAnsi="宋体" w:eastAsia="宋体"/>
                <w:bCs/>
                <w:sz w:val="15"/>
                <w:szCs w:val="15"/>
              </w:rPr>
              <w:t>端阻力增强系数</w:t>
            </w:r>
          </w:p>
        </w:tc>
      </w:tr>
      <w:tr>
        <w:tblPrEx>
          <w:tblLayout w:type="fixed"/>
          <w:tblCellMar>
            <w:top w:w="0" w:type="dxa"/>
            <w:left w:w="108" w:type="dxa"/>
            <w:bottom w:w="0" w:type="dxa"/>
            <w:right w:w="108" w:type="dxa"/>
          </w:tblCellMar>
        </w:tblPrEx>
        <w:trPr>
          <w:trHeight w:val="0" w:hRule="atLeast"/>
        </w:trPr>
        <w:tc>
          <w:tcPr>
            <w:tcW w:w="1842" w:type="dxa"/>
            <w:tcBorders>
              <w:top w:val="nil"/>
              <w:left w:val="nil"/>
              <w:bottom w:val="nil"/>
              <w:right w:val="nil"/>
            </w:tcBorders>
            <w:tcMar>
              <w:top w:w="0" w:type="dxa"/>
              <w:left w:w="108" w:type="dxa"/>
              <w:bottom w:w="0" w:type="dxa"/>
              <w:right w:w="108" w:type="dxa"/>
            </w:tcMar>
          </w:tcPr>
          <w:p>
            <w:pPr>
              <w:spacing w:line="360" w:lineRule="auto"/>
              <w:ind w:firstLine="300"/>
              <w:jc w:val="center"/>
              <w:rPr>
                <w:rFonts w:ascii="宋体" w:hAnsi="宋体" w:eastAsia="宋体"/>
                <w:bCs/>
                <w:sz w:val="15"/>
                <w:szCs w:val="15"/>
              </w:rPr>
            </w:pPr>
            <w:r>
              <w:rPr>
                <w:rFonts w:hint="eastAsia" w:ascii="宋体" w:hAnsi="宋体" w:eastAsia="宋体"/>
                <w:bCs/>
                <w:sz w:val="15"/>
                <w:szCs w:val="15"/>
              </w:rPr>
              <w:t>黏性土</w:t>
            </w:r>
          </w:p>
        </w:tc>
        <w:tc>
          <w:tcPr>
            <w:tcW w:w="2127" w:type="dxa"/>
            <w:tcBorders>
              <w:top w:val="nil"/>
              <w:left w:val="nil"/>
              <w:bottom w:val="nil"/>
              <w:right w:val="nil"/>
            </w:tcBorders>
            <w:tcMar>
              <w:top w:w="0" w:type="dxa"/>
              <w:left w:w="108" w:type="dxa"/>
              <w:bottom w:w="0" w:type="dxa"/>
              <w:right w:w="108" w:type="dxa"/>
            </w:tcMar>
          </w:tcPr>
          <w:p>
            <w:pPr>
              <w:rPr>
                <w:rFonts w:ascii="宋体" w:hAnsi="宋体" w:eastAsia="宋体"/>
                <w:sz w:val="15"/>
                <w:szCs w:val="15"/>
              </w:rPr>
            </w:pPr>
            <w:r>
              <w:rPr>
                <w:rFonts w:ascii="宋体" w:hAnsi="宋体" w:eastAsia="宋体"/>
                <w:sz w:val="15"/>
                <w:szCs w:val="15"/>
              </w:rPr>
              <w:t>1.00</w:t>
            </w:r>
            <w:r>
              <w:rPr>
                <w:rFonts w:hint="eastAsia" w:ascii="宋体" w:hAnsi="宋体" w:eastAsia="宋体"/>
                <w:sz w:val="15"/>
                <w:szCs w:val="15"/>
              </w:rPr>
              <w:t>～</w:t>
            </w:r>
            <w:r>
              <w:rPr>
                <w:rFonts w:ascii="宋体" w:hAnsi="宋体" w:eastAsia="宋体"/>
                <w:sz w:val="15"/>
                <w:szCs w:val="15"/>
              </w:rPr>
              <w:t>1.15</w:t>
            </w:r>
          </w:p>
        </w:tc>
        <w:tc>
          <w:tcPr>
            <w:tcW w:w="2409" w:type="dxa"/>
            <w:tcBorders>
              <w:top w:val="nil"/>
              <w:left w:val="nil"/>
              <w:bottom w:val="nil"/>
              <w:right w:val="nil"/>
            </w:tcBorders>
            <w:tcMar>
              <w:top w:w="0" w:type="dxa"/>
              <w:left w:w="108" w:type="dxa"/>
              <w:bottom w:w="0" w:type="dxa"/>
              <w:right w:w="108" w:type="dxa"/>
            </w:tcMar>
          </w:tcPr>
          <w:p>
            <w:pPr>
              <w:rPr>
                <w:rFonts w:ascii="宋体" w:hAnsi="宋体" w:eastAsia="宋体"/>
                <w:sz w:val="15"/>
                <w:szCs w:val="15"/>
              </w:rPr>
            </w:pPr>
            <w:r>
              <w:rPr>
                <w:rFonts w:ascii="宋体" w:hAnsi="宋体" w:eastAsia="宋体"/>
                <w:sz w:val="15"/>
                <w:szCs w:val="15"/>
              </w:rPr>
              <w:t>1.20</w:t>
            </w:r>
            <w:r>
              <w:rPr>
                <w:rFonts w:hint="eastAsia" w:ascii="宋体" w:hAnsi="宋体" w:eastAsia="宋体"/>
                <w:sz w:val="15"/>
                <w:szCs w:val="15"/>
              </w:rPr>
              <w:t>～</w:t>
            </w:r>
            <w:r>
              <w:rPr>
                <w:rFonts w:ascii="宋体" w:hAnsi="宋体" w:eastAsia="宋体"/>
                <w:sz w:val="15"/>
                <w:szCs w:val="15"/>
              </w:rPr>
              <w:t>1.50</w:t>
            </w:r>
          </w:p>
        </w:tc>
      </w:tr>
      <w:tr>
        <w:tblPrEx>
          <w:tblLayout w:type="fixed"/>
          <w:tblCellMar>
            <w:top w:w="0" w:type="dxa"/>
            <w:left w:w="108" w:type="dxa"/>
            <w:bottom w:w="0" w:type="dxa"/>
            <w:right w:w="108" w:type="dxa"/>
          </w:tblCellMar>
        </w:tblPrEx>
        <w:trPr>
          <w:trHeight w:val="0" w:hRule="atLeast"/>
        </w:trPr>
        <w:tc>
          <w:tcPr>
            <w:tcW w:w="1842" w:type="dxa"/>
            <w:tcBorders>
              <w:top w:val="nil"/>
              <w:left w:val="nil"/>
              <w:bottom w:val="nil"/>
              <w:right w:val="nil"/>
            </w:tcBorders>
            <w:tcMar>
              <w:top w:w="0" w:type="dxa"/>
              <w:left w:w="108" w:type="dxa"/>
              <w:bottom w:w="0" w:type="dxa"/>
              <w:right w:w="108" w:type="dxa"/>
            </w:tcMar>
          </w:tcPr>
          <w:p>
            <w:pPr>
              <w:spacing w:line="360" w:lineRule="auto"/>
              <w:ind w:firstLine="300"/>
              <w:jc w:val="center"/>
              <w:rPr>
                <w:rFonts w:ascii="宋体" w:hAnsi="宋体" w:eastAsia="宋体"/>
                <w:bCs/>
                <w:sz w:val="15"/>
                <w:szCs w:val="15"/>
              </w:rPr>
            </w:pPr>
            <w:r>
              <w:rPr>
                <w:rFonts w:hint="eastAsia" w:ascii="宋体" w:hAnsi="宋体" w:eastAsia="宋体"/>
                <w:bCs/>
                <w:sz w:val="15"/>
                <w:szCs w:val="15"/>
              </w:rPr>
              <w:t>粉土、粉砂</w:t>
            </w:r>
          </w:p>
        </w:tc>
        <w:tc>
          <w:tcPr>
            <w:tcW w:w="2127" w:type="dxa"/>
            <w:tcBorders>
              <w:top w:val="nil"/>
              <w:left w:val="nil"/>
              <w:bottom w:val="nil"/>
              <w:right w:val="nil"/>
            </w:tcBorders>
            <w:tcMar>
              <w:top w:w="0" w:type="dxa"/>
              <w:left w:w="108" w:type="dxa"/>
              <w:bottom w:w="0" w:type="dxa"/>
              <w:right w:w="108" w:type="dxa"/>
            </w:tcMar>
          </w:tcPr>
          <w:p>
            <w:pPr>
              <w:rPr>
                <w:rFonts w:ascii="宋体" w:hAnsi="宋体" w:eastAsia="宋体"/>
                <w:sz w:val="15"/>
                <w:szCs w:val="15"/>
              </w:rPr>
            </w:pPr>
            <w:r>
              <w:rPr>
                <w:rFonts w:ascii="宋体" w:hAnsi="宋体" w:eastAsia="宋体"/>
                <w:sz w:val="15"/>
                <w:szCs w:val="15"/>
              </w:rPr>
              <w:t>1.00</w:t>
            </w:r>
            <w:r>
              <w:rPr>
                <w:rFonts w:hint="eastAsia" w:ascii="宋体" w:hAnsi="宋体" w:eastAsia="宋体"/>
                <w:sz w:val="15"/>
                <w:szCs w:val="15"/>
              </w:rPr>
              <w:t>～</w:t>
            </w:r>
            <w:r>
              <w:rPr>
                <w:rFonts w:ascii="宋体" w:hAnsi="宋体" w:eastAsia="宋体"/>
                <w:sz w:val="15"/>
                <w:szCs w:val="15"/>
              </w:rPr>
              <w:t>1.15</w:t>
            </w:r>
          </w:p>
        </w:tc>
        <w:tc>
          <w:tcPr>
            <w:tcW w:w="2409" w:type="dxa"/>
            <w:tcBorders>
              <w:top w:val="nil"/>
              <w:left w:val="nil"/>
              <w:bottom w:val="nil"/>
              <w:right w:val="nil"/>
            </w:tcBorders>
            <w:tcMar>
              <w:top w:w="0" w:type="dxa"/>
              <w:left w:w="108" w:type="dxa"/>
              <w:bottom w:w="0" w:type="dxa"/>
              <w:right w:w="108" w:type="dxa"/>
            </w:tcMar>
          </w:tcPr>
          <w:p>
            <w:pPr>
              <w:rPr>
                <w:rFonts w:ascii="宋体" w:hAnsi="宋体" w:eastAsia="宋体"/>
                <w:sz w:val="15"/>
                <w:szCs w:val="15"/>
              </w:rPr>
            </w:pPr>
            <w:r>
              <w:rPr>
                <w:rFonts w:ascii="宋体" w:hAnsi="宋体" w:eastAsia="宋体"/>
                <w:sz w:val="15"/>
                <w:szCs w:val="15"/>
              </w:rPr>
              <w:t>1.15</w:t>
            </w:r>
            <w:r>
              <w:rPr>
                <w:rFonts w:hint="eastAsia" w:ascii="宋体" w:hAnsi="宋体" w:eastAsia="宋体"/>
                <w:sz w:val="15"/>
                <w:szCs w:val="15"/>
              </w:rPr>
              <w:t>～</w:t>
            </w:r>
            <w:r>
              <w:rPr>
                <w:rFonts w:ascii="宋体" w:hAnsi="宋体" w:eastAsia="宋体"/>
                <w:sz w:val="15"/>
                <w:szCs w:val="15"/>
              </w:rPr>
              <w:t>1.45</w:t>
            </w:r>
          </w:p>
        </w:tc>
      </w:tr>
      <w:tr>
        <w:tblPrEx>
          <w:tblLayout w:type="fixed"/>
          <w:tblCellMar>
            <w:top w:w="0" w:type="dxa"/>
            <w:left w:w="108" w:type="dxa"/>
            <w:bottom w:w="0" w:type="dxa"/>
            <w:right w:w="108" w:type="dxa"/>
          </w:tblCellMar>
        </w:tblPrEx>
        <w:trPr>
          <w:trHeight w:val="0" w:hRule="atLeast"/>
        </w:trPr>
        <w:tc>
          <w:tcPr>
            <w:tcW w:w="1842" w:type="dxa"/>
            <w:tcBorders>
              <w:top w:val="nil"/>
              <w:left w:val="nil"/>
              <w:bottom w:val="nil"/>
              <w:right w:val="nil"/>
            </w:tcBorders>
            <w:tcMar>
              <w:top w:w="0" w:type="dxa"/>
              <w:left w:w="108" w:type="dxa"/>
              <w:bottom w:w="0" w:type="dxa"/>
              <w:right w:w="108" w:type="dxa"/>
            </w:tcMar>
          </w:tcPr>
          <w:p>
            <w:pPr>
              <w:spacing w:line="360" w:lineRule="auto"/>
              <w:ind w:firstLine="300"/>
              <w:jc w:val="center"/>
              <w:rPr>
                <w:rFonts w:ascii="宋体" w:hAnsi="宋体" w:eastAsia="宋体"/>
                <w:bCs/>
                <w:sz w:val="15"/>
                <w:szCs w:val="15"/>
              </w:rPr>
            </w:pPr>
            <w:r>
              <w:rPr>
                <w:rFonts w:hint="eastAsia" w:ascii="宋体" w:hAnsi="宋体" w:eastAsia="宋体"/>
                <w:bCs/>
                <w:sz w:val="15"/>
                <w:szCs w:val="15"/>
              </w:rPr>
              <w:t>砂土（粉砂除外）</w:t>
            </w:r>
          </w:p>
        </w:tc>
        <w:tc>
          <w:tcPr>
            <w:tcW w:w="2127" w:type="dxa"/>
            <w:tcBorders>
              <w:top w:val="nil"/>
              <w:left w:val="nil"/>
              <w:bottom w:val="nil"/>
              <w:right w:val="nil"/>
            </w:tcBorders>
            <w:tcMar>
              <w:top w:w="0" w:type="dxa"/>
              <w:left w:w="108" w:type="dxa"/>
              <w:bottom w:w="0" w:type="dxa"/>
              <w:right w:w="108" w:type="dxa"/>
            </w:tcMar>
          </w:tcPr>
          <w:p>
            <w:pPr>
              <w:rPr>
                <w:rFonts w:ascii="宋体" w:hAnsi="宋体" w:eastAsia="宋体"/>
                <w:sz w:val="15"/>
                <w:szCs w:val="15"/>
              </w:rPr>
            </w:pPr>
            <w:r>
              <w:rPr>
                <w:rFonts w:ascii="宋体" w:hAnsi="宋体" w:eastAsia="宋体"/>
                <w:sz w:val="15"/>
                <w:szCs w:val="15"/>
              </w:rPr>
              <w:t>1.00</w:t>
            </w:r>
            <w:r>
              <w:rPr>
                <w:rFonts w:hint="eastAsia" w:ascii="宋体" w:hAnsi="宋体" w:eastAsia="宋体"/>
                <w:sz w:val="15"/>
                <w:szCs w:val="15"/>
              </w:rPr>
              <w:t>～</w:t>
            </w:r>
            <w:r>
              <w:rPr>
                <w:rFonts w:ascii="宋体" w:hAnsi="宋体" w:eastAsia="宋体"/>
                <w:sz w:val="15"/>
                <w:szCs w:val="15"/>
              </w:rPr>
              <w:t>1.15</w:t>
            </w:r>
          </w:p>
        </w:tc>
        <w:tc>
          <w:tcPr>
            <w:tcW w:w="2409" w:type="dxa"/>
            <w:tcBorders>
              <w:top w:val="nil"/>
              <w:left w:val="nil"/>
              <w:bottom w:val="nil"/>
              <w:right w:val="nil"/>
            </w:tcBorders>
            <w:tcMar>
              <w:top w:w="0" w:type="dxa"/>
              <w:left w:w="108" w:type="dxa"/>
              <w:bottom w:w="0" w:type="dxa"/>
              <w:right w:w="108" w:type="dxa"/>
            </w:tcMar>
          </w:tcPr>
          <w:p>
            <w:pPr>
              <w:rPr>
                <w:rFonts w:ascii="宋体" w:hAnsi="宋体" w:eastAsia="宋体"/>
                <w:sz w:val="15"/>
                <w:szCs w:val="15"/>
              </w:rPr>
            </w:pPr>
            <w:r>
              <w:rPr>
                <w:rFonts w:ascii="宋体" w:hAnsi="宋体" w:eastAsia="宋体"/>
                <w:sz w:val="15"/>
                <w:szCs w:val="15"/>
              </w:rPr>
              <w:t>1.00</w:t>
            </w:r>
            <w:r>
              <w:rPr>
                <w:rFonts w:hint="eastAsia" w:ascii="宋体" w:hAnsi="宋体" w:eastAsia="宋体"/>
                <w:sz w:val="15"/>
                <w:szCs w:val="15"/>
              </w:rPr>
              <w:t>～</w:t>
            </w:r>
            <w:r>
              <w:rPr>
                <w:rFonts w:ascii="宋体" w:hAnsi="宋体" w:eastAsia="宋体"/>
                <w:sz w:val="15"/>
                <w:szCs w:val="15"/>
              </w:rPr>
              <w:t>1.40</w:t>
            </w:r>
          </w:p>
        </w:tc>
      </w:tr>
      <w:tr>
        <w:tblPrEx>
          <w:tblLayout w:type="fixed"/>
          <w:tblCellMar>
            <w:top w:w="0" w:type="dxa"/>
            <w:left w:w="108" w:type="dxa"/>
            <w:bottom w:w="0" w:type="dxa"/>
            <w:right w:w="108" w:type="dxa"/>
          </w:tblCellMar>
        </w:tblPrEx>
        <w:trPr>
          <w:trHeight w:val="0" w:hRule="atLeast"/>
        </w:trPr>
        <w:tc>
          <w:tcPr>
            <w:tcW w:w="1842" w:type="dxa"/>
            <w:tcBorders>
              <w:top w:val="nil"/>
              <w:left w:val="nil"/>
              <w:bottom w:val="nil"/>
              <w:right w:val="nil"/>
            </w:tcBorders>
            <w:tcMar>
              <w:top w:w="0" w:type="dxa"/>
              <w:left w:w="108" w:type="dxa"/>
              <w:bottom w:w="0" w:type="dxa"/>
              <w:right w:w="108" w:type="dxa"/>
            </w:tcMar>
          </w:tcPr>
          <w:p>
            <w:pPr>
              <w:spacing w:line="360" w:lineRule="auto"/>
              <w:ind w:firstLine="300"/>
              <w:jc w:val="center"/>
              <w:rPr>
                <w:rFonts w:ascii="宋体" w:hAnsi="宋体" w:eastAsia="宋体"/>
                <w:bCs/>
                <w:sz w:val="15"/>
                <w:szCs w:val="15"/>
              </w:rPr>
            </w:pPr>
            <w:r>
              <w:rPr>
                <w:rFonts w:hint="eastAsia" w:ascii="宋体" w:hAnsi="宋体" w:eastAsia="宋体"/>
                <w:bCs/>
                <w:sz w:val="15"/>
                <w:szCs w:val="15"/>
              </w:rPr>
              <w:t>砾砂、角砾、圆砾、碎石、卵石</w:t>
            </w:r>
          </w:p>
        </w:tc>
        <w:tc>
          <w:tcPr>
            <w:tcW w:w="2127" w:type="dxa"/>
            <w:tcBorders>
              <w:top w:val="nil"/>
              <w:left w:val="nil"/>
              <w:bottom w:val="nil"/>
              <w:right w:val="nil"/>
            </w:tcBorders>
            <w:tcMar>
              <w:top w:w="0" w:type="dxa"/>
              <w:left w:w="108" w:type="dxa"/>
              <w:bottom w:w="0" w:type="dxa"/>
              <w:right w:w="108" w:type="dxa"/>
            </w:tcMar>
          </w:tcPr>
          <w:p>
            <w:pPr>
              <w:rPr>
                <w:rFonts w:ascii="宋体" w:hAnsi="宋体" w:eastAsia="宋体"/>
                <w:sz w:val="15"/>
                <w:szCs w:val="15"/>
              </w:rPr>
            </w:pPr>
            <w:r>
              <w:rPr>
                <w:rFonts w:ascii="宋体" w:hAnsi="宋体" w:eastAsia="宋体"/>
                <w:sz w:val="15"/>
                <w:szCs w:val="15"/>
              </w:rPr>
              <w:t>1.00</w:t>
            </w:r>
            <w:r>
              <w:rPr>
                <w:rFonts w:hint="eastAsia" w:ascii="宋体" w:hAnsi="宋体" w:eastAsia="宋体"/>
                <w:sz w:val="15"/>
                <w:szCs w:val="15"/>
              </w:rPr>
              <w:t>～</w:t>
            </w:r>
            <w:r>
              <w:rPr>
                <w:rFonts w:ascii="宋体" w:hAnsi="宋体" w:eastAsia="宋体"/>
                <w:sz w:val="15"/>
                <w:szCs w:val="15"/>
              </w:rPr>
              <w:t>1.20</w:t>
            </w:r>
          </w:p>
        </w:tc>
        <w:tc>
          <w:tcPr>
            <w:tcW w:w="2409" w:type="dxa"/>
            <w:tcBorders>
              <w:top w:val="nil"/>
              <w:left w:val="nil"/>
              <w:bottom w:val="nil"/>
              <w:right w:val="nil"/>
            </w:tcBorders>
            <w:tcMar>
              <w:top w:w="0" w:type="dxa"/>
              <w:left w:w="108" w:type="dxa"/>
              <w:bottom w:w="0" w:type="dxa"/>
              <w:right w:w="108" w:type="dxa"/>
            </w:tcMar>
          </w:tcPr>
          <w:p>
            <w:pPr>
              <w:rPr>
                <w:rFonts w:ascii="宋体" w:hAnsi="宋体" w:eastAsia="宋体"/>
                <w:sz w:val="15"/>
                <w:szCs w:val="15"/>
              </w:rPr>
            </w:pPr>
            <w:r>
              <w:rPr>
                <w:rFonts w:ascii="宋体" w:hAnsi="宋体" w:eastAsia="宋体"/>
                <w:sz w:val="15"/>
                <w:szCs w:val="15"/>
              </w:rPr>
              <w:t>1.00</w:t>
            </w:r>
            <w:r>
              <w:rPr>
                <w:rFonts w:hint="eastAsia" w:ascii="宋体" w:hAnsi="宋体" w:eastAsia="宋体"/>
                <w:sz w:val="15"/>
                <w:szCs w:val="15"/>
              </w:rPr>
              <w:t>～</w:t>
            </w:r>
            <w:r>
              <w:rPr>
                <w:rFonts w:ascii="宋体" w:hAnsi="宋体" w:eastAsia="宋体"/>
                <w:sz w:val="15"/>
                <w:szCs w:val="15"/>
              </w:rPr>
              <w:t>1.40</w:t>
            </w:r>
          </w:p>
        </w:tc>
      </w:tr>
      <w:tr>
        <w:tblPrEx>
          <w:tblLayout w:type="fixed"/>
          <w:tblCellMar>
            <w:top w:w="0" w:type="dxa"/>
            <w:left w:w="108" w:type="dxa"/>
            <w:bottom w:w="0" w:type="dxa"/>
            <w:right w:w="108" w:type="dxa"/>
          </w:tblCellMar>
        </w:tblPrEx>
        <w:trPr>
          <w:trHeight w:val="0" w:hRule="atLeast"/>
        </w:trPr>
        <w:tc>
          <w:tcPr>
            <w:tcW w:w="1842" w:type="dxa"/>
            <w:tcBorders>
              <w:top w:val="nil"/>
              <w:left w:val="nil"/>
              <w:bottom w:val="nil"/>
              <w:right w:val="nil"/>
            </w:tcBorders>
            <w:tcMar>
              <w:top w:w="0" w:type="dxa"/>
              <w:left w:w="108" w:type="dxa"/>
              <w:bottom w:w="0" w:type="dxa"/>
              <w:right w:w="108" w:type="dxa"/>
            </w:tcMar>
          </w:tcPr>
          <w:p>
            <w:pPr>
              <w:spacing w:line="360" w:lineRule="auto"/>
              <w:ind w:firstLine="300"/>
              <w:jc w:val="center"/>
              <w:rPr>
                <w:rFonts w:ascii="宋体" w:hAnsi="宋体" w:eastAsia="宋体"/>
                <w:bCs/>
                <w:sz w:val="15"/>
                <w:szCs w:val="15"/>
              </w:rPr>
            </w:pPr>
            <w:r>
              <w:rPr>
                <w:rFonts w:hint="eastAsia" w:ascii="宋体" w:hAnsi="宋体" w:eastAsia="宋体"/>
                <w:bCs/>
                <w:sz w:val="15"/>
                <w:szCs w:val="15"/>
              </w:rPr>
              <w:t>全风化</w:t>
            </w:r>
            <w:r>
              <w:rPr>
                <w:rFonts w:ascii="宋体" w:hAnsi="宋体" w:eastAsia="宋体"/>
                <w:bCs/>
                <w:sz w:val="15"/>
                <w:szCs w:val="15"/>
              </w:rPr>
              <w:t>(</w:t>
            </w:r>
            <w:r>
              <w:rPr>
                <w:rFonts w:hint="eastAsia" w:ascii="宋体" w:hAnsi="宋体" w:eastAsia="宋体"/>
                <w:bCs/>
                <w:sz w:val="15"/>
                <w:szCs w:val="15"/>
              </w:rPr>
              <w:t>强风化</w:t>
            </w:r>
            <w:r>
              <w:rPr>
                <w:rFonts w:ascii="宋体" w:hAnsi="宋体" w:eastAsia="宋体"/>
                <w:bCs/>
                <w:sz w:val="15"/>
                <w:szCs w:val="15"/>
              </w:rPr>
              <w:t>)</w:t>
            </w:r>
            <w:r>
              <w:rPr>
                <w:rFonts w:hint="eastAsia" w:ascii="宋体" w:hAnsi="宋体" w:eastAsia="宋体"/>
                <w:bCs/>
                <w:sz w:val="15"/>
                <w:szCs w:val="15"/>
              </w:rPr>
              <w:t>岩</w:t>
            </w:r>
          </w:p>
        </w:tc>
        <w:tc>
          <w:tcPr>
            <w:tcW w:w="2127" w:type="dxa"/>
            <w:tcBorders>
              <w:top w:val="nil"/>
              <w:left w:val="nil"/>
              <w:bottom w:val="nil"/>
              <w:right w:val="nil"/>
            </w:tcBorders>
            <w:tcMar>
              <w:top w:w="0" w:type="dxa"/>
              <w:left w:w="108" w:type="dxa"/>
              <w:bottom w:w="0" w:type="dxa"/>
              <w:right w:w="108" w:type="dxa"/>
            </w:tcMar>
          </w:tcPr>
          <w:p>
            <w:pPr>
              <w:rPr>
                <w:rFonts w:ascii="宋体" w:hAnsi="宋体" w:eastAsia="宋体"/>
                <w:sz w:val="15"/>
                <w:szCs w:val="15"/>
              </w:rPr>
            </w:pPr>
            <w:r>
              <w:rPr>
                <w:rFonts w:ascii="宋体" w:hAnsi="宋体" w:eastAsia="宋体"/>
                <w:sz w:val="15"/>
                <w:szCs w:val="15"/>
              </w:rPr>
              <w:t>1.00</w:t>
            </w:r>
            <w:r>
              <w:rPr>
                <w:rFonts w:hint="eastAsia" w:ascii="宋体" w:hAnsi="宋体" w:eastAsia="宋体"/>
                <w:sz w:val="15"/>
                <w:szCs w:val="15"/>
              </w:rPr>
              <w:t>～</w:t>
            </w:r>
            <w:r>
              <w:rPr>
                <w:rFonts w:ascii="宋体" w:hAnsi="宋体" w:eastAsia="宋体"/>
                <w:sz w:val="15"/>
                <w:szCs w:val="15"/>
              </w:rPr>
              <w:t>1.20</w:t>
            </w:r>
          </w:p>
        </w:tc>
        <w:tc>
          <w:tcPr>
            <w:tcW w:w="2409" w:type="dxa"/>
            <w:tcBorders>
              <w:top w:val="nil"/>
              <w:left w:val="nil"/>
              <w:bottom w:val="nil"/>
              <w:right w:val="nil"/>
            </w:tcBorders>
            <w:tcMar>
              <w:top w:w="0" w:type="dxa"/>
              <w:left w:w="108" w:type="dxa"/>
              <w:bottom w:w="0" w:type="dxa"/>
              <w:right w:w="108" w:type="dxa"/>
            </w:tcMar>
          </w:tcPr>
          <w:p>
            <w:pPr>
              <w:rPr>
                <w:rFonts w:ascii="宋体" w:hAnsi="宋体" w:eastAsia="宋体"/>
                <w:sz w:val="15"/>
                <w:szCs w:val="15"/>
              </w:rPr>
            </w:pPr>
            <w:r>
              <w:rPr>
                <w:rFonts w:ascii="宋体" w:hAnsi="宋体" w:eastAsia="宋体"/>
                <w:sz w:val="15"/>
                <w:szCs w:val="15"/>
              </w:rPr>
              <w:t>1.00</w:t>
            </w:r>
            <w:r>
              <w:rPr>
                <w:rFonts w:hint="eastAsia" w:ascii="宋体" w:hAnsi="宋体" w:eastAsia="宋体"/>
                <w:sz w:val="15"/>
                <w:szCs w:val="15"/>
              </w:rPr>
              <w:t>～</w:t>
            </w:r>
            <w:r>
              <w:rPr>
                <w:rFonts w:ascii="宋体" w:hAnsi="宋体" w:eastAsia="宋体"/>
                <w:sz w:val="15"/>
                <w:szCs w:val="15"/>
              </w:rPr>
              <w:t>1.35</w:t>
            </w:r>
          </w:p>
        </w:tc>
      </w:tr>
      <w:tr>
        <w:tblPrEx>
          <w:tblLayout w:type="fixed"/>
          <w:tblCellMar>
            <w:top w:w="0" w:type="dxa"/>
            <w:left w:w="108" w:type="dxa"/>
            <w:bottom w:w="0" w:type="dxa"/>
            <w:right w:w="108" w:type="dxa"/>
          </w:tblCellMar>
        </w:tblPrEx>
        <w:trPr>
          <w:trHeight w:val="0" w:hRule="atLeast"/>
        </w:trPr>
        <w:tc>
          <w:tcPr>
            <w:tcW w:w="1842" w:type="dxa"/>
            <w:tcBorders>
              <w:top w:val="nil"/>
              <w:left w:val="nil"/>
              <w:bottom w:val="single" w:color="000000" w:sz="8" w:space="0"/>
              <w:right w:val="nil"/>
            </w:tcBorders>
            <w:tcMar>
              <w:top w:w="0" w:type="dxa"/>
              <w:left w:w="108" w:type="dxa"/>
              <w:bottom w:w="0" w:type="dxa"/>
              <w:right w:w="108" w:type="dxa"/>
            </w:tcMar>
          </w:tcPr>
          <w:p>
            <w:pPr>
              <w:spacing w:line="360" w:lineRule="auto"/>
              <w:ind w:firstLine="300"/>
              <w:jc w:val="center"/>
              <w:rPr>
                <w:rFonts w:ascii="宋体" w:hAnsi="宋体" w:eastAsia="宋体"/>
                <w:bCs/>
                <w:sz w:val="15"/>
                <w:szCs w:val="15"/>
              </w:rPr>
            </w:pPr>
            <w:r>
              <w:rPr>
                <w:rFonts w:hint="eastAsia" w:ascii="宋体" w:hAnsi="宋体" w:eastAsia="宋体"/>
                <w:bCs/>
                <w:sz w:val="15"/>
                <w:szCs w:val="15"/>
              </w:rPr>
              <w:t>强风化岩（</w:t>
            </w:r>
            <w:r>
              <w:rPr>
                <w:rFonts w:ascii="宋体" w:hAnsi="宋体" w:eastAsia="宋体"/>
                <w:bCs/>
                <w:sz w:val="15"/>
                <w:szCs w:val="15"/>
              </w:rPr>
              <w:t>N50</w:t>
            </w:r>
            <w:r>
              <w:rPr>
                <w:rFonts w:hint="eastAsia" w:ascii="宋体" w:hAnsi="宋体" w:eastAsia="宋体"/>
                <w:bCs/>
                <w:sz w:val="15"/>
                <w:szCs w:val="15"/>
              </w:rPr>
              <w:t>）</w:t>
            </w:r>
          </w:p>
        </w:tc>
        <w:tc>
          <w:tcPr>
            <w:tcW w:w="2127" w:type="dxa"/>
            <w:tcBorders>
              <w:top w:val="nil"/>
              <w:left w:val="nil"/>
              <w:bottom w:val="single" w:color="000000" w:sz="8" w:space="0"/>
              <w:right w:val="nil"/>
            </w:tcBorders>
            <w:tcMar>
              <w:top w:w="0" w:type="dxa"/>
              <w:left w:w="108" w:type="dxa"/>
              <w:bottom w:w="0" w:type="dxa"/>
              <w:right w:w="108" w:type="dxa"/>
            </w:tcMar>
          </w:tcPr>
          <w:p>
            <w:pPr>
              <w:rPr>
                <w:rFonts w:ascii="宋体" w:hAnsi="宋体" w:eastAsia="宋体"/>
                <w:sz w:val="15"/>
                <w:szCs w:val="15"/>
              </w:rPr>
            </w:pPr>
            <w:r>
              <w:rPr>
                <w:rFonts w:ascii="宋体" w:hAnsi="宋体" w:eastAsia="宋体"/>
                <w:sz w:val="15"/>
                <w:szCs w:val="15"/>
              </w:rPr>
              <w:t>1.00</w:t>
            </w:r>
            <w:r>
              <w:rPr>
                <w:rFonts w:hint="eastAsia" w:ascii="宋体" w:hAnsi="宋体" w:eastAsia="宋体"/>
                <w:sz w:val="15"/>
                <w:szCs w:val="15"/>
              </w:rPr>
              <w:t>～</w:t>
            </w:r>
            <w:r>
              <w:rPr>
                <w:rFonts w:ascii="宋体" w:hAnsi="宋体" w:eastAsia="宋体"/>
                <w:sz w:val="15"/>
                <w:szCs w:val="15"/>
              </w:rPr>
              <w:t>1.20</w:t>
            </w:r>
          </w:p>
        </w:tc>
        <w:tc>
          <w:tcPr>
            <w:tcW w:w="2409" w:type="dxa"/>
            <w:tcBorders>
              <w:top w:val="nil"/>
              <w:left w:val="nil"/>
              <w:bottom w:val="single" w:color="000000" w:sz="8" w:space="0"/>
              <w:right w:val="nil"/>
            </w:tcBorders>
            <w:tcMar>
              <w:top w:w="0" w:type="dxa"/>
              <w:left w:w="108" w:type="dxa"/>
              <w:bottom w:w="0" w:type="dxa"/>
              <w:right w:w="108" w:type="dxa"/>
            </w:tcMar>
          </w:tcPr>
          <w:p>
            <w:pPr>
              <w:rPr>
                <w:rFonts w:ascii="宋体" w:hAnsi="宋体" w:eastAsia="宋体"/>
                <w:sz w:val="15"/>
                <w:szCs w:val="15"/>
              </w:rPr>
            </w:pPr>
            <w:r>
              <w:rPr>
                <w:rFonts w:ascii="宋体" w:hAnsi="宋体" w:eastAsia="宋体"/>
                <w:sz w:val="15"/>
                <w:szCs w:val="15"/>
              </w:rPr>
              <w:t>1.00</w:t>
            </w:r>
            <w:r>
              <w:rPr>
                <w:rFonts w:hint="eastAsia" w:ascii="宋体" w:hAnsi="宋体" w:eastAsia="宋体"/>
                <w:sz w:val="15"/>
                <w:szCs w:val="15"/>
              </w:rPr>
              <w:t>～</w:t>
            </w:r>
            <w:r>
              <w:rPr>
                <w:rFonts w:ascii="宋体" w:hAnsi="宋体" w:eastAsia="宋体"/>
                <w:sz w:val="15"/>
                <w:szCs w:val="15"/>
              </w:rPr>
              <w:t>1.50</w:t>
            </w:r>
          </w:p>
        </w:tc>
      </w:tr>
    </w:tbl>
    <w:p>
      <w:pPr>
        <w:sectPr>
          <w:footnotePr>
            <w:numFmt w:val="decimal"/>
          </w:footnotePr>
          <w:endnotePr>
            <w:numFmt w:val="decimal"/>
          </w:endnotePr>
          <w:type w:val="continuous"/>
          <w:pgSz w:w="11906" w:h="16838"/>
          <w:pgMar w:top="1440" w:right="1800" w:bottom="1440" w:left="1800" w:header="720" w:footer="720" w:gutter="0"/>
          <w:paperSrc/>
        </w:sectPr>
      </w:pPr>
    </w:p>
    <w:p>
      <w:pPr>
        <w:spacing w:line="360" w:lineRule="auto"/>
        <w:ind w:firstLine="422"/>
      </w:pPr>
      <w:r>
        <w:rPr>
          <w:b/>
        </w:rPr>
        <w:t>3.5.2 施工中采取的主要措施</w:t>
      </w:r>
      <w:r>
        <w:br w:type="textWrapping"/>
      </w:r>
      <w:r>
        <w:t>　　为减少挤土效应对施工的影响，可以结合现场具体情况采用以下一种或者多种施工措施：</w:t>
      </w:r>
    </w:p>
    <w:p>
      <w:pPr>
        <w:spacing w:line="360" w:lineRule="auto"/>
        <w:ind w:firstLine="420"/>
      </w:pPr>
      <w:r>
        <w:t>（1）合理安排打桩顺序：静压桩施工应按背离保护对象和“先深后浅、先长后短、先大后小，避免密集”的原则进行。</w:t>
      </w:r>
    </w:p>
    <w:p>
      <w:pPr>
        <w:spacing w:line="360" w:lineRule="auto"/>
        <w:ind w:firstLine="420"/>
      </w:pPr>
      <w:r>
        <w:t>（2）限制打桩速度：24小时压桩停歇时间不少于8小时；日压桩量根据当地经验结合周边环境监测数进行调整。</w:t>
      </w:r>
    </w:p>
    <w:p>
      <w:pPr>
        <w:spacing w:line="360" w:lineRule="auto"/>
        <w:ind w:firstLine="420"/>
      </w:pPr>
      <w:r>
        <w:t>（3）开挖地面防挤沟：防挤沟的长度比建筑物基础长2m，宽度一般为1.2-2.5m，深度超过地下管线埋置深度或邻近建筑物埋置深度1m，沟内可适当回填砂或者其它松散材料。</w:t>
      </w:r>
    </w:p>
    <w:p>
      <w:pPr>
        <w:spacing w:line="360" w:lineRule="auto"/>
        <w:ind w:firstLine="420"/>
      </w:pPr>
      <w:r>
        <w:t>（4）采用井点降水、砂井和盲沟等降水或排水措施以便及时使土层中孔隙水压力消散。</w:t>
      </w:r>
    </w:p>
    <w:p>
      <w:pPr>
        <w:spacing w:line="360" w:lineRule="auto"/>
        <w:ind w:firstLine="420"/>
      </w:pPr>
      <w:r>
        <w:t>（5）液压打桩锤“重锤低击”法施工：选用锤型时，还应考虑桩身混凝土强度和锤击数的因素：锤击压应力不得大于桩身混凝土抗压强度设计值及桩的锤击数不宜超过«锤击法预应力混凝土管桩基础技术规程»的规定</w:t>
      </w:r>
      <w:r>
        <w:rPr>
          <w:vertAlign w:val="superscript"/>
        </w:rPr>
        <w:t>[10]</w:t>
      </w:r>
      <w:r>
        <w:t>。</w:t>
      </w:r>
    </w:p>
    <w:p>
      <w:pPr>
        <w:spacing w:line="360" w:lineRule="auto"/>
        <w:ind w:firstLine="420"/>
      </w:pPr>
      <w:r>
        <w:t>（6）限制送桩深度≤4m。</w:t>
      </w:r>
    </w:p>
    <w:p>
      <w:pPr>
        <w:spacing w:line="360" w:lineRule="auto"/>
        <w:ind w:firstLine="420"/>
      </w:pPr>
      <w:r>
        <w:t>（7）对上浮的管桩超过2cm必须采用复压措施，使桩顶标高回位。</w:t>
      </w:r>
      <w:r>
        <w:br w:type="textWrapping"/>
      </w:r>
      <w:r>
        <w:t xml:space="preserve"> </w:t>
      </w:r>
      <w:r>
        <w:rPr>
          <w:b/>
          <w:bCs/>
        </w:rPr>
        <w:t>4结语</w:t>
      </w:r>
      <w:r>
        <w:br w:type="textWrapping"/>
      </w:r>
      <w:r>
        <w:t>　通过对PHC桩在该工程中的成功应用，可以总结出以下几点经验：</w:t>
      </w:r>
      <w:r>
        <w:br w:type="textWrapping"/>
      </w:r>
      <w:r>
        <w:t xml:space="preserve">  4.1老黏土具有如下力学特征：密实、低压缩性、低渗透性、超固结性、非饱和性及弱膨胀性等。</w:t>
      </w:r>
    </w:p>
    <w:p>
      <w:pPr>
        <w:spacing w:line="360" w:lineRule="auto"/>
        <w:ind w:firstLine="210"/>
        <w:rPr>
          <w:b/>
          <w:bCs/>
        </w:rPr>
      </w:pPr>
      <w:r>
        <w:t>4.2认识和理解了老黏土地区PHC桩的承载机理和沉降特性。通过本项目验证了老黏土地区压桩力与极限承载力的经验公式，老黏土地区管桩承载力增长率与休止期的关系，休止期天数一般为28~30d。</w:t>
      </w:r>
      <w:r>
        <w:br w:type="textWrapping"/>
      </w:r>
      <w:r>
        <w:t xml:space="preserve">  4.3为减少压桩的挤土效应对施工造成的影响，管桩设计施工时可采用增大桩距、合理安排打桩顺序、限制打桩速度、限制送桩深度等措施，可有效消除老黏土地区的挤土效应，减小管桩施工中安全质量事故的发生。</w:t>
      </w:r>
      <w:r>
        <w:br w:type="textWrapping"/>
      </w:r>
      <w:r>
        <w:rPr>
          <w:b/>
          <w:bCs/>
        </w:rPr>
        <w:t>参考文献</w:t>
      </w:r>
    </w:p>
    <w:p>
      <w:pPr>
        <w:spacing w:line="360" w:lineRule="auto"/>
        <w:ind w:firstLine="360"/>
        <w:rPr>
          <w:sz w:val="18"/>
          <w:szCs w:val="18"/>
        </w:rPr>
      </w:pPr>
      <w:r>
        <w:rPr>
          <w:sz w:val="18"/>
          <w:szCs w:val="18"/>
        </w:rPr>
        <w:t xml:space="preserve">[1] 地铁设计规范. 中华人民共和国国家标准，GB 50157-2013 </w:t>
      </w:r>
    </w:p>
    <w:p>
      <w:pPr>
        <w:spacing w:line="360" w:lineRule="auto"/>
        <w:ind w:firstLine="360"/>
        <w:rPr>
          <w:sz w:val="18"/>
          <w:szCs w:val="18"/>
        </w:rPr>
      </w:pPr>
      <w:r>
        <w:rPr>
          <w:sz w:val="18"/>
          <w:szCs w:val="18"/>
        </w:rPr>
        <w:t>[2] 预应力混凝土管桩. 国家建筑标准设计图集，10G409</w:t>
      </w:r>
    </w:p>
    <w:p>
      <w:pPr>
        <w:spacing w:line="360" w:lineRule="auto"/>
        <w:ind w:firstLine="360"/>
        <w:rPr>
          <w:sz w:val="18"/>
          <w:szCs w:val="18"/>
        </w:rPr>
      </w:pPr>
      <w:r>
        <w:rPr>
          <w:sz w:val="18"/>
          <w:szCs w:val="18"/>
        </w:rPr>
        <w:t>[3] 郭杨，崔伟. PHC管桩在老黏土地区应用的试验研究[J]. 岩土工程学报，2011(33):108-115. Guo Yang. Experimental study on application of PHC piles in paleo-clay area[J]. Chinese Journal of Geotechnical Engineering, 2011(33): 108-114.</w:t>
      </w:r>
    </w:p>
    <w:p>
      <w:pPr>
        <w:spacing w:line="360" w:lineRule="auto"/>
        <w:ind w:firstLine="360"/>
        <w:rPr>
          <w:sz w:val="18"/>
          <w:szCs w:val="18"/>
        </w:rPr>
      </w:pPr>
      <w:r>
        <w:rPr>
          <w:sz w:val="18"/>
          <w:szCs w:val="18"/>
        </w:rPr>
        <w:t>[4]郭杨，崔伟. 应用圆柱孔扩张理论对PHC管桩承载特性的研究[J]. 合肥工业大学学报（自然科学版），2010（33）：269-274.</w:t>
      </w:r>
    </w:p>
    <w:p>
      <w:pPr>
        <w:spacing w:line="360" w:lineRule="auto"/>
        <w:ind w:firstLine="360"/>
        <w:rPr>
          <w:sz w:val="18"/>
          <w:szCs w:val="18"/>
        </w:rPr>
      </w:pPr>
      <w:r>
        <w:rPr>
          <w:sz w:val="18"/>
          <w:szCs w:val="18"/>
        </w:rPr>
        <w:t>Guo Yang, Cui Wei. Study on the bearing behavior of PHC piles using cylindrical cavity expansion theory[J]. Journal of Hefei University of Technology (atural Science), 2010(2): 269-274.</w:t>
      </w:r>
    </w:p>
    <w:p>
      <w:pPr>
        <w:spacing w:line="360" w:lineRule="auto"/>
        <w:ind w:left="420"/>
        <w:rPr>
          <w:sz w:val="18"/>
          <w:szCs w:val="18"/>
        </w:rPr>
      </w:pPr>
      <w:r>
        <w:rPr>
          <w:sz w:val="18"/>
          <w:szCs w:val="18"/>
        </w:rPr>
        <w:t>[5]郭 杨，吴 平. 老黏土地区PHC管桩设计施工关键技术研究。</w:t>
      </w:r>
      <w:r>
        <w:rPr>
          <w:sz w:val="18"/>
          <w:szCs w:val="18"/>
        </w:rPr>
        <w:br w:type="textWrapping"/>
      </w:r>
      <w:r>
        <w:rPr>
          <w:sz w:val="18"/>
          <w:szCs w:val="18"/>
        </w:rPr>
        <w:t>[6] 赵俭斌，阮 翔，等. 辽沈地区静压管桩终压力与单桩极限承载力的关系研究[J]. 沈阳建筑大学学报（自然科学版），2005(4)：302-305. Zhao Jian-bin, Ruan Xiang, et al. Research on the relationship between the final pressure of static pressure pile in liao-shen area and the ultimate bearing capacity of single pile[J]. Journal of Shenyang Institute of Aernautical Engineering (Natural Science), 2005(04): 302-305.</w:t>
      </w:r>
      <w:r>
        <w:rPr>
          <w:sz w:val="18"/>
          <w:szCs w:val="18"/>
        </w:rPr>
        <w:br w:type="textWrapping"/>
      </w:r>
      <w:r>
        <w:rPr>
          <w:sz w:val="18"/>
          <w:szCs w:val="18"/>
        </w:rPr>
        <w:t>[7] 郭杨. 预应力混凝土管桩在老黏土地区应用的关键技术研究报告[M].  2014：73-74.</w:t>
      </w:r>
      <w:r>
        <w:rPr>
          <w:sz w:val="18"/>
          <w:szCs w:val="18"/>
        </w:rPr>
        <w:br w:type="textWrapping"/>
      </w:r>
      <w:r>
        <w:rPr>
          <w:sz w:val="18"/>
          <w:szCs w:val="18"/>
        </w:rPr>
        <w:t>[8] DB34/5005-2014，先张法预应力混  凝土管桩基础技术规程[S].</w:t>
      </w:r>
      <w:r>
        <w:rPr>
          <w:sz w:val="18"/>
          <w:szCs w:val="18"/>
        </w:rPr>
        <w:br w:type="textWrapping"/>
      </w:r>
      <w:r>
        <w:rPr>
          <w:sz w:val="18"/>
          <w:szCs w:val="18"/>
        </w:rPr>
        <w:t>[9] BJT11-166，先张法预应力混凝土抗拔管桩抱箍式连接[S].</w:t>
      </w:r>
      <w:r>
        <w:rPr>
          <w:sz w:val="18"/>
          <w:szCs w:val="18"/>
        </w:rPr>
        <w:br w:type="textWrapping"/>
      </w:r>
      <w:r>
        <w:rPr>
          <w:sz w:val="18"/>
          <w:szCs w:val="18"/>
        </w:rPr>
        <w:t>[10] DBJ/T 15-22-2008，锤击法预应力混凝土管桩基础技术规程[S].</w:t>
      </w:r>
    </w:p>
    <w:p>
      <w:pPr>
        <w:spacing w:line="360" w:lineRule="auto"/>
        <w:ind w:left="420"/>
      </w:pPr>
    </w:p>
    <w:p>
      <w:pPr>
        <w:sectPr>
          <w:footnotePr>
            <w:numFmt w:val="decimal"/>
          </w:footnotePr>
          <w:endnotePr>
            <w:numFmt w:val="decimal"/>
          </w:endnotePr>
          <w:type w:val="continuous"/>
          <w:pgSz w:w="11906" w:h="16838"/>
          <w:pgMar w:top="1440" w:right="1800" w:bottom="1440" w:left="1800" w:header="720" w:footer="720" w:gutter="0"/>
          <w:paperSrc/>
          <w:cols w:space="425" w:num="2"/>
        </w:sectPr>
      </w:pPr>
    </w:p>
    <w:p>
      <w:pPr>
        <w:spacing w:line="360" w:lineRule="auto"/>
        <w:ind w:left="420"/>
        <w:rPr>
          <w:b/>
          <w:sz w:val="30"/>
          <w:szCs w:val="30"/>
        </w:rPr>
      </w:pPr>
      <w:r>
        <w:rPr>
          <w:b/>
          <w:sz w:val="30"/>
          <w:szCs w:val="30"/>
        </w:rPr>
        <w:t>Discussing the main technical issues in design and construction of PHC pipe pile in Gong ren cun Depots</w:t>
      </w:r>
      <w:r>
        <w:rPr>
          <w:b/>
          <w:sz w:val="30"/>
          <w:szCs w:val="30"/>
          <w:vertAlign w:val="superscript"/>
        </w:rPr>
        <w:t>,</w:t>
      </w:r>
      <w:r>
        <w:rPr>
          <w:b/>
          <w:sz w:val="30"/>
          <w:szCs w:val="30"/>
        </w:rPr>
        <w:t>s old clay strata</w:t>
      </w:r>
    </w:p>
    <w:p>
      <w:pPr>
        <w:spacing w:line="360" w:lineRule="auto"/>
        <w:ind w:left="420"/>
        <w:jc w:val="center"/>
        <w:rPr>
          <w:sz w:val="24"/>
          <w:szCs w:val="24"/>
        </w:rPr>
      </w:pPr>
      <w:r>
        <w:rPr>
          <w:sz w:val="24"/>
          <w:szCs w:val="24"/>
        </w:rPr>
        <w:t xml:space="preserve">Zhang Xusheng </w:t>
      </w:r>
    </w:p>
    <w:p>
      <w:pPr>
        <w:spacing w:line="360" w:lineRule="auto"/>
        <w:ind w:left="420"/>
        <w:jc w:val="center"/>
        <w:rPr>
          <w:sz w:val="24"/>
          <w:szCs w:val="24"/>
        </w:rPr>
      </w:pPr>
      <w:r>
        <w:rPr>
          <w:sz w:val="24"/>
          <w:szCs w:val="24"/>
        </w:rPr>
        <w:t>（China railway survey and design institute in wuhan co., LTD，Wuhan  430074）</w:t>
      </w:r>
    </w:p>
    <w:p>
      <w:pPr>
        <w:spacing w:line="360" w:lineRule="auto"/>
        <w:ind w:left="420"/>
      </w:pPr>
      <w:r>
        <w:rPr>
          <w:b/>
        </w:rPr>
        <w:t>Abstract:</w:t>
      </w:r>
      <w:r>
        <w:t xml:space="preserve"> Through researching the main problems of PHC pipe pile using in the design and construction of Gong ren cun Depots</w:t>
      </w:r>
      <w:r>
        <w:rPr>
          <w:vertAlign w:val="superscript"/>
        </w:rPr>
        <w:t>,</w:t>
      </w:r>
      <w:r>
        <w:t>s old clay strata of wuhan metro line 5 , summarizes the old clay characteristic of the geotechnical characteristics of system and analyzes the causes of construction quality problem, put forward the old clay area of pipe pile design and construction technical measures and quality accident prevention treatment method, can provide the application of the pipe pile in old clay formation with some experience.</w:t>
      </w:r>
    </w:p>
    <w:p>
      <w:pPr>
        <w:spacing w:line="360" w:lineRule="auto"/>
      </w:pPr>
      <w:r>
        <w:t xml:space="preserve">    </w:t>
      </w:r>
      <w:r>
        <w:rPr>
          <w:b/>
        </w:rPr>
        <w:t xml:space="preserve">Keywords: </w:t>
      </w:r>
      <w:r>
        <w:t xml:space="preserve"> PHC pipe pile; The old clay strata; Geotechnical properties; The compaction effect; Single pile bearing capacity; Bearing capacity of timeliness</w:t>
      </w:r>
    </w:p>
    <w:p>
      <w:pPr>
        <w:spacing w:line="360" w:lineRule="auto"/>
        <w:rPr>
          <w:color w:val="FF0000"/>
        </w:rPr>
      </w:pPr>
    </w:p>
    <w:p>
      <w:pPr>
        <w:spacing w:line="360" w:lineRule="auto"/>
      </w:pPr>
    </w:p>
    <w:sectPr>
      <w:footnotePr>
        <w:numFmt w:val="decimal"/>
      </w:footnotePr>
      <w:endnotePr>
        <w:numFmt w:val="decimal"/>
      </w:endnotePr>
      <w:type w:val="continuous"/>
      <w:pgSz w:w="11906" w:h="16838"/>
      <w:pgMar w:top="1440" w:right="1800" w:bottom="1440" w:left="1800" w:header="720" w:footer="720" w:gutter="0"/>
      <w:paperSr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3"/>
        <w:left w:val="none" w:color="000000" w:sz="0" w:space="3"/>
        <w:bottom w:val="none" w:color="000000" w:sz="0" w:space="0"/>
        <w:right w:val="none" w:color="000000" w:sz="0" w:space="3"/>
        <w:between w:val="none" w:color="000000" w:sz="0" w:space="0"/>
      </w:pBdr>
      <w:shd w:val="soli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762BBB"/>
    <w:rsid w:val="6BE164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Calibri" w:hAnsi="Calibri" w:eastAsia="Calibri" w:cs="Times New Roman"/>
      <w:kern w:val="1"/>
      <w:sz w:val="21"/>
      <w:szCs w:val="22"/>
      <w:lang w:val="en-US" w:eastAsia="zh-CN" w:bidi="ar-SA"/>
    </w:rPr>
  </w:style>
  <w:style w:type="character" w:default="1" w:styleId="5">
    <w:name w:val="Default Paragraph Font"/>
    <w:link w:val="1"/>
    <w:qFormat/>
    <w:uiPriority w:val="0"/>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qFormat/>
    <w:uiPriority w:val="0"/>
    <w:pPr>
      <w:widowControl w:val="0"/>
      <w:jc w:val="both"/>
    </w:pPr>
    <w:rPr>
      <w:rFonts w:ascii="Calibri" w:hAnsi="Calibri" w:eastAsia="Calibri" w:cs="Times New Roman"/>
      <w:kern w:val="1"/>
      <w:sz w:val="18"/>
      <w:szCs w:val="18"/>
      <w:lang w:val="en-US" w:eastAsia="zh-CN" w:bidi="ar-SA"/>
    </w:rPr>
  </w:style>
  <w:style w:type="paragraph" w:styleId="3">
    <w:name w:val="footer"/>
    <w:qFormat/>
    <w:uiPriority w:val="0"/>
    <w:pPr>
      <w:widowControl w:val="0"/>
      <w:jc w:val="left"/>
    </w:pPr>
    <w:rPr>
      <w:rFonts w:ascii="Calibri" w:hAnsi="Calibri" w:eastAsia="Calibri" w:cs="Times New Roman"/>
      <w:kern w:val="1"/>
      <w:sz w:val="18"/>
      <w:szCs w:val="18"/>
      <w:lang w:val="en-US" w:eastAsia="zh-CN" w:bidi="ar-SA"/>
    </w:rPr>
  </w:style>
  <w:style w:type="paragraph" w:styleId="4">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jc w:val="center"/>
    </w:pPr>
    <w:rPr>
      <w:rFonts w:ascii="Calibri" w:hAnsi="Calibri" w:eastAsia="Calibri" w:cs="Times New Roman"/>
      <w:kern w:val="1"/>
      <w:sz w:val="18"/>
      <w:szCs w:val="18"/>
      <w:lang w:val="en-US" w:eastAsia="zh-CN" w:bidi="ar-SA"/>
    </w:rPr>
  </w:style>
  <w:style w:type="character" w:styleId="6">
    <w:name w:val="Hyperlink"/>
    <w:link w:val="1"/>
    <w:uiPriority w:val="0"/>
    <w:rPr>
      <w:color w:val="0000FF"/>
      <w:u w:val="single" w:color="auto"/>
    </w:rPr>
  </w:style>
  <w:style w:type="paragraph" w:customStyle="1" w:styleId="8">
    <w:name w:val="List Paragraph"/>
    <w:qFormat/>
    <w:uiPriority w:val="0"/>
    <w:pPr>
      <w:widowControl w:val="0"/>
      <w:ind w:firstLine="420"/>
      <w:jc w:val="both"/>
    </w:pPr>
    <w:rPr>
      <w:rFonts w:ascii="Calibri" w:hAnsi="Calibri" w:eastAsia="Calibri" w:cs="Times New Roman"/>
      <w:kern w:val="1"/>
      <w:sz w:val="21"/>
      <w:szCs w:val="22"/>
      <w:lang w:val="en-US" w:eastAsia="zh-CN" w:bidi="ar-SA"/>
    </w:rPr>
  </w:style>
  <w:style w:type="character" w:customStyle="1" w:styleId="9">
    <w:name w:val="页眉 Char"/>
    <w:link w:val="1"/>
    <w:qFormat/>
    <w:uiPriority w:val="0"/>
    <w:rPr>
      <w:sz w:val="18"/>
      <w:szCs w:val="18"/>
    </w:rPr>
  </w:style>
  <w:style w:type="character" w:customStyle="1" w:styleId="10">
    <w:name w:val="页脚 Char"/>
    <w:link w:val="1"/>
    <w:uiPriority w:val="0"/>
    <w:rPr>
      <w:sz w:val="18"/>
      <w:szCs w:val="18"/>
    </w:rPr>
  </w:style>
  <w:style w:type="character" w:customStyle="1" w:styleId="11">
    <w:name w:val="批注框文本 Char"/>
    <w:link w:val="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2016-07-27T02:23:00Z</dcterms:created>
  <dc:creator>Windows 用户</dc:creator>
  <cp:lastModifiedBy>Administrator</cp:lastModifiedBy>
  <dcterms:modified xsi:type="dcterms:W3CDTF">2017-10-17T08:19:23Z</dcterms:modified>
  <cp:revision>797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