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bookmarkStart w:id="10" w:name="_GoBack"/>
      <w:r>
        <w:rPr>
          <w:sz w:val="30"/>
          <w:szCs w:val="30"/>
        </w:rPr>
        <w:t>农村基础设施投资与农业全要素生产率的长期均衡及短期动态关系研究</w:t>
      </w:r>
      <w:bookmarkEnd w:id="10"/>
      <w:r>
        <w:rPr>
          <w:sz w:val="30"/>
          <w:szCs w:val="30"/>
        </w:rPr>
        <w:t>——基于中国1985-2011的省级面板数据</w:t>
      </w:r>
    </w:p>
    <w:p>
      <w:pPr>
        <w:jc w:val="center"/>
        <w:rPr>
          <w:sz w:val="28"/>
          <w:szCs w:val="32"/>
        </w:rPr>
      </w:pPr>
      <w:r>
        <w:rPr>
          <w:sz w:val="28"/>
          <w:szCs w:val="32"/>
        </w:rPr>
        <w:t>李宗璋</w:t>
      </w:r>
      <w:r>
        <w:rPr>
          <w:sz w:val="28"/>
          <w:szCs w:val="32"/>
        </w:rPr>
        <w:footnoteReference w:id="0"/>
      </w:r>
      <w:r>
        <w:rPr>
          <w:sz w:val="28"/>
          <w:szCs w:val="32"/>
        </w:rPr>
        <w:t xml:space="preserve"> 马亚男</w:t>
      </w:r>
    </w:p>
    <w:p>
      <w:pPr>
        <w:jc w:val="center"/>
        <w:rPr>
          <w:sz w:val="28"/>
          <w:szCs w:val="32"/>
        </w:rPr>
      </w:pPr>
      <w:r>
        <w:rPr>
          <w:sz w:val="28"/>
          <w:szCs w:val="32"/>
        </w:rPr>
        <w:t>（华南农业大学经济管理学院，广州，510642）</w:t>
      </w:r>
    </w:p>
    <w:p>
      <w:pPr>
        <w:jc w:val="center"/>
        <w:rPr>
          <w:sz w:val="52"/>
          <w:szCs w:val="52"/>
        </w:rPr>
      </w:pPr>
    </w:p>
    <w:p>
      <w:pPr>
        <w:rPr>
          <w:sz w:val="24"/>
        </w:rPr>
      </w:pPr>
      <w:r>
        <w:rPr>
          <w:rFonts w:eastAsia="黑体"/>
          <w:sz w:val="18"/>
          <w:szCs w:val="18"/>
        </w:rPr>
        <w:t>摘要：</w:t>
      </w:r>
      <w:r>
        <w:rPr>
          <w:rFonts w:eastAsia="Calibri"/>
          <w:sz w:val="18"/>
          <w:szCs w:val="18"/>
        </w:rPr>
        <w:t>本文通过建立长期均衡模型和短期动态模型对我国1985-2011年间的农村基础设施投资和农业全要素生产率之间的关系进行了研究，实证研究的结果表明：公路投资、灌溉投资和电力投资与农业全要素生产率之间存在长期均衡的关系，长期而言，灌溉投资对农业全要素生产率的提高贡献最大，其次是公路投资和电力投资。短期而言，三类基础设施投资与农业全要素生产率的关系由短期偏离向长期均衡调整的速度很快，公路投资对农业全要素生产率的短期变化影响最为显著。</w:t>
      </w:r>
    </w:p>
    <w:p>
      <w:pPr>
        <w:rPr>
          <w:rFonts w:eastAsia="Calibri"/>
          <w:sz w:val="18"/>
          <w:szCs w:val="18"/>
        </w:rPr>
      </w:pPr>
      <w:r>
        <w:rPr>
          <w:rFonts w:eastAsia="黑体"/>
          <w:sz w:val="18"/>
          <w:szCs w:val="18"/>
        </w:rPr>
        <w:t>关键词：</w:t>
      </w:r>
      <w:r>
        <w:rPr>
          <w:rFonts w:eastAsia="Calibri"/>
          <w:sz w:val="18"/>
          <w:szCs w:val="18"/>
        </w:rPr>
        <w:t>农村基础设施投资农业全要素生产率长期均衡短期波动</w:t>
      </w:r>
    </w:p>
    <w:p>
      <w:pPr>
        <w:rPr>
          <w:rFonts w:eastAsia="黑体"/>
          <w:sz w:val="18"/>
          <w:szCs w:val="18"/>
        </w:rPr>
      </w:pPr>
      <w:r>
        <w:rPr>
          <w:rFonts w:eastAsia="黑体"/>
          <w:sz w:val="18"/>
          <w:szCs w:val="18"/>
        </w:rPr>
        <w:t>中图分类号：</w:t>
      </w:r>
      <w:r>
        <w:rPr>
          <w:rFonts w:hint="eastAsia" w:eastAsia="黑体"/>
          <w:sz w:val="18"/>
          <w:szCs w:val="18"/>
        </w:rPr>
        <w:t>F323.3</w:t>
      </w:r>
      <w:r>
        <w:rPr>
          <w:rFonts w:eastAsia="黑体"/>
          <w:sz w:val="18"/>
          <w:szCs w:val="18"/>
        </w:rPr>
        <w:t>文献标识码：A</w:t>
      </w:r>
    </w:p>
    <w:p>
      <w:pPr>
        <w:spacing w:line="360" w:lineRule="auto"/>
        <w:jc w:val="center"/>
        <w:rPr>
          <w:rFonts w:eastAsia="华文细黑"/>
          <w:sz w:val="24"/>
        </w:rPr>
      </w:pPr>
      <w:r>
        <w:rPr>
          <w:rFonts w:eastAsia="华文细黑"/>
          <w:sz w:val="24"/>
        </w:rPr>
        <w:t>一、前言</w:t>
      </w:r>
    </w:p>
    <w:p>
      <w:pPr>
        <w:ind w:firstLine="420"/>
        <w:rPr>
          <w:rFonts w:eastAsia="Calibri"/>
          <w:szCs w:val="21"/>
        </w:rPr>
      </w:pPr>
      <w:r>
        <w:rPr>
          <w:rFonts w:eastAsia="Calibri"/>
          <w:szCs w:val="21"/>
        </w:rPr>
        <w:t>农业是自然风险和市场风险并存的弱质产业，农业发展对农村基础设施投资有很强的依赖性。大量的经验事实表明，农村基础设施投资一方面可以带动劳动力、资本等生产要素投入的增加，促进农业产出的增加，另一方面农村基础设施投资形成的交通，灌溉，电力等基础设施能够改善农业生产条件、提高农业资源配置效率，促进技术的扩散和传播，产生溢出效应。近年来, 中央已将加强农村基础设施投资作为促进农村经济发展、改善农村民生，实现城乡基本公共服务均等化的一项重要政策。因此，系统地研究农村基础设施投资对农业经济增长的贡献，探究农村基础设施投资和农业全要素生产率之间是否存在长期均衡关系？短期内，它们的动态关系如何？通过实证研究对这些问题进行系统地探讨，不仅是对农村公共投资理论的检验，也是对我国农村基础设施投资效果的经验总结，对科学制定农村基础设施投资战略具有重要意义。</w:t>
      </w:r>
    </w:p>
    <w:p>
      <w:pPr>
        <w:ind w:firstLine="420"/>
        <w:rPr>
          <w:rFonts w:eastAsia="Calibri"/>
          <w:szCs w:val="21"/>
        </w:rPr>
      </w:pPr>
      <w:r>
        <w:rPr>
          <w:rFonts w:eastAsia="Calibri"/>
          <w:szCs w:val="21"/>
        </w:rPr>
        <w:t>本研究选取了三类农村基础投资进行研究：农村公路投资、灌溉投资以及农村电力投资，之所以选择这三类基础设施投资，是因为这三类投资形成的公路、灌溉设施、发电站及其配套电网是农业生产中最为重要的基础设施，具有最广泛的网络效应和规模效应，与农业增长的联系最为紧密，对于任何地区的农业生产都具有普遍性的意义。接下来，本文就将在文献回顾的基础上，提出本文将要研究的问题，介绍实证研究的样本和数据来源，通过建立长期均衡模型和短期波动模型比较农村公路、灌溉、电力基础设施投资对农业全要素生产率增长的长短期效应的差异，最后得出研究结论。</w:t>
      </w:r>
    </w:p>
    <w:p>
      <w:pPr>
        <w:jc w:val="center"/>
        <w:rPr>
          <w:rFonts w:eastAsia="华文细黑"/>
          <w:sz w:val="24"/>
          <w:szCs w:val="21"/>
        </w:rPr>
      </w:pPr>
      <w:r>
        <w:rPr>
          <w:rFonts w:eastAsia="华文细黑"/>
          <w:sz w:val="24"/>
          <w:szCs w:val="21"/>
        </w:rPr>
        <w:t>二、文献综述</w:t>
      </w:r>
    </w:p>
    <w:p>
      <w:pPr>
        <w:ind w:firstLine="420"/>
        <w:rPr>
          <w:rFonts w:eastAsia="Calibri"/>
          <w:szCs w:val="21"/>
        </w:rPr>
      </w:pPr>
      <w:r>
        <w:rPr>
          <w:rFonts w:eastAsia="Calibri"/>
          <w:szCs w:val="21"/>
        </w:rPr>
        <w:t>发展经济学家Rosenstein-Rodan(1943)</w:t>
      </w:r>
      <w:r>
        <w:rPr>
          <w:rFonts w:eastAsia="Calibri"/>
          <w:szCs w:val="21"/>
          <w:vertAlign w:val="superscript"/>
        </w:rPr>
        <w:t>[1]</w:t>
      </w:r>
      <w:r>
        <w:rPr>
          <w:rFonts w:eastAsia="Calibri"/>
          <w:szCs w:val="21"/>
        </w:rPr>
        <w:t>和Hirschman(1958)</w:t>
      </w:r>
      <w:r>
        <w:rPr>
          <w:rFonts w:eastAsia="Calibri"/>
          <w:szCs w:val="21"/>
          <w:vertAlign w:val="superscript"/>
        </w:rPr>
        <w:t>[2]</w:t>
      </w:r>
      <w:r>
        <w:rPr>
          <w:rFonts w:eastAsia="Calibri"/>
          <w:szCs w:val="21"/>
        </w:rPr>
        <w:t>指出基础设施能通过网络经济和规模经济间接地促进资本和劳动生产率的提高，并将基础设施对经济增长的间接效益称作基础设施的溢出效应。内生增长理论(Lucas, 1988；Barro,1999</w:t>
      </w:r>
      <w:r>
        <w:rPr>
          <w:rFonts w:eastAsia="Calibri"/>
          <w:szCs w:val="21"/>
          <w:vertAlign w:val="superscript"/>
        </w:rPr>
        <w:t>[3][4]</w:t>
      </w:r>
      <w:r>
        <w:rPr>
          <w:rFonts w:eastAsia="Calibri"/>
          <w:szCs w:val="21"/>
        </w:rPr>
        <w:t>认为基础设施资本不仅仅通过资本积累效应直接促进经济增长，还能通过间接地提高全要素生产率的方式促进了经济增长。近年来涌现了一大批关注基础设施对农业增长效应的文献。Fan(2000)</w:t>
      </w:r>
      <w:r>
        <w:rPr>
          <w:rFonts w:eastAsia="Calibri"/>
          <w:szCs w:val="21"/>
          <w:vertAlign w:val="superscript"/>
        </w:rPr>
        <w:t>[5]</w:t>
      </w:r>
      <w:r>
        <w:rPr>
          <w:rFonts w:eastAsia="Calibri"/>
          <w:szCs w:val="21"/>
        </w:rPr>
        <w:t>的研究发现政府在农村基础设施和农业研发的支出对农业增长的效果最为明显。Bhalla和Singh (2001)</w:t>
      </w:r>
      <w:r>
        <w:rPr>
          <w:rFonts w:eastAsia="Calibri"/>
          <w:szCs w:val="21"/>
          <w:vertAlign w:val="superscript"/>
        </w:rPr>
        <w:t>[6]</w:t>
      </w:r>
      <w:r>
        <w:rPr>
          <w:rFonts w:eastAsia="Calibri"/>
          <w:szCs w:val="21"/>
        </w:rPr>
        <w:t>的研究表明灌溉投资，有利于提高农业产出，农业技术扩散如采用新品种也有赖于物质和制度基础设施的完善。Thorat和Sirohi (2002)</w:t>
      </w:r>
      <w:r>
        <w:rPr>
          <w:rFonts w:eastAsia="Calibri"/>
          <w:szCs w:val="21"/>
          <w:vertAlign w:val="superscript"/>
        </w:rPr>
        <w:t xml:space="preserve"> [7]</w:t>
      </w:r>
      <w:r>
        <w:rPr>
          <w:rFonts w:eastAsia="Calibri"/>
          <w:szCs w:val="21"/>
        </w:rPr>
        <w:t>的研究发现交通、电力、灌溉和研发对于提升印度的农业产量的效应最显著。Andersen和Shimokawa (2007)</w:t>
      </w:r>
      <w:r>
        <w:rPr>
          <w:rFonts w:eastAsia="Calibri"/>
          <w:szCs w:val="21"/>
          <w:vertAlign w:val="superscript"/>
        </w:rPr>
        <w:t>[8]</w:t>
      </w:r>
      <w:r>
        <w:rPr>
          <w:rFonts w:eastAsia="Calibri"/>
          <w:szCs w:val="21"/>
        </w:rPr>
        <w:t>指出发展中国国家交通、能源、电信等领域的基础设施投资不足是制约农业经济增长的瓶颈。Jain等(2009)</w:t>
      </w:r>
      <w:r>
        <w:rPr>
          <w:rFonts w:eastAsia="Calibri"/>
          <w:szCs w:val="21"/>
          <w:vertAlign w:val="superscript"/>
        </w:rPr>
        <w:t>[9]</w:t>
      </w:r>
      <w:r>
        <w:rPr>
          <w:rFonts w:eastAsia="Calibri"/>
          <w:szCs w:val="21"/>
        </w:rPr>
        <w:t>对印度的农业发展进行了考察，指出电力、灌溉、信贷机构和农业技术推广机构的发展有利于农户采用新的种植技术，促进农业产出提高。Teles 和Mussolini(2010)</w:t>
      </w:r>
      <w:r>
        <w:rPr>
          <w:rFonts w:eastAsia="Calibri"/>
          <w:szCs w:val="21"/>
          <w:vertAlign w:val="superscript"/>
        </w:rPr>
        <w:t>[10]</w:t>
      </w:r>
      <w:r>
        <w:rPr>
          <w:rFonts w:eastAsia="Calibri"/>
          <w:szCs w:val="21"/>
        </w:rPr>
        <w:t>的研究发现20世纪七十年代阿根廷、巴西和墨西哥债务危机导致了基础设施投资的大规模缩减，进而导致了农业生产率急剧下。Llanto(2012)</w:t>
      </w:r>
      <w:r>
        <w:rPr>
          <w:rFonts w:eastAsia="Calibri"/>
          <w:szCs w:val="21"/>
          <w:vertAlign w:val="superscript"/>
        </w:rPr>
        <w:t>[11]</w:t>
      </w:r>
      <w:r>
        <w:rPr>
          <w:rFonts w:eastAsia="Calibri"/>
          <w:szCs w:val="21"/>
        </w:rPr>
        <w:t>研究了菲律宾农业基础设施和农业发展的关系，指出道路及电力设施的普及能显著提高农村劳动力的生产率。Chaudhry等(2013)</w:t>
      </w:r>
      <w:r>
        <w:rPr>
          <w:rFonts w:eastAsia="Calibri"/>
          <w:szCs w:val="21"/>
          <w:vertAlign w:val="superscript"/>
        </w:rPr>
        <w:t>[12]</w:t>
      </w:r>
      <w:r>
        <w:rPr>
          <w:rFonts w:eastAsia="Calibri"/>
          <w:szCs w:val="21"/>
        </w:rPr>
        <w:t>考察了欧洲国家交通基础设施的发展对农业增长的影响。王红林和张林秀（2002）</w:t>
      </w:r>
      <w:r>
        <w:rPr>
          <w:rFonts w:eastAsia="Calibri"/>
          <w:szCs w:val="21"/>
          <w:vertAlign w:val="superscript"/>
        </w:rPr>
        <w:t>[13]</w:t>
      </w:r>
      <w:r>
        <w:rPr>
          <w:rFonts w:eastAsia="Calibri"/>
          <w:szCs w:val="21"/>
        </w:rPr>
        <w:t>利用江苏省64个县1975到1996年的统计资料，构建生产函数模型，对改革前后公共投资对农业生产增长的贡献进行了分析,指出农业公共投资是促进农业生产增长最有力的增长因素的。</w:t>
      </w:r>
      <w:r>
        <w:rPr>
          <w:rFonts w:eastAsia="Calibri"/>
          <w:bCs/>
          <w:szCs w:val="21"/>
        </w:rPr>
        <w:t>吕立才和徐天祥(2005)</w:t>
      </w:r>
      <w:r>
        <w:rPr>
          <w:rFonts w:eastAsia="Calibri"/>
          <w:szCs w:val="21"/>
          <w:vertAlign w:val="superscript"/>
        </w:rPr>
        <w:t>[14]</w:t>
      </w:r>
      <w:r>
        <w:rPr>
          <w:rFonts w:eastAsia="Calibri"/>
          <w:bCs/>
          <w:szCs w:val="21"/>
        </w:rPr>
        <w:t>考察了我国公共投资和私人投资对农业产出增长的作用,实证研究的估计结果表明,</w:t>
      </w:r>
      <w:r>
        <w:rPr>
          <w:rFonts w:eastAsia="Calibri"/>
          <w:szCs w:val="21"/>
        </w:rPr>
        <w:t>公共投资对农业产出的弹性为0.12,</w:t>
      </w:r>
      <w:r>
        <w:rPr>
          <w:rFonts w:eastAsia="Calibri"/>
          <w:bCs/>
          <w:szCs w:val="21"/>
        </w:rPr>
        <w:t>私人投资对农业出的弹性0.76，私人投资比公共投资对农业产出贡献更大。Wang等(2013)</w:t>
      </w:r>
      <w:r>
        <w:rPr>
          <w:rFonts w:eastAsia="Calibri"/>
          <w:szCs w:val="21"/>
          <w:vertAlign w:val="superscript"/>
        </w:rPr>
        <w:t>[15]</w:t>
      </w:r>
      <w:r>
        <w:rPr>
          <w:rFonts w:eastAsia="Calibri"/>
          <w:bCs/>
          <w:szCs w:val="21"/>
        </w:rPr>
        <w:t>对黑龙江的研究发现道路建设对农业GDP的增长有显著影响。</w:t>
      </w:r>
      <w:r>
        <w:rPr>
          <w:rFonts w:eastAsia="Calibri"/>
          <w:szCs w:val="21"/>
        </w:rPr>
        <w:t>王君萍和阮锋儿(2009)</w:t>
      </w:r>
      <w:r>
        <w:rPr>
          <w:rFonts w:eastAsia="Calibri"/>
          <w:szCs w:val="21"/>
          <w:vertAlign w:val="superscript"/>
        </w:rPr>
        <w:t>[16]</w:t>
      </w:r>
      <w:r>
        <w:rPr>
          <w:rFonts w:eastAsia="Calibri"/>
          <w:szCs w:val="21"/>
        </w:rPr>
        <w:t>以陕西省1990-2005的数据为样本，通过Granger因果检验得出增加农村建设投资支出对GDP增长和农业GDP增长具有重要的推动作用。姜涛（2012）</w:t>
      </w:r>
      <w:r>
        <w:rPr>
          <w:rFonts w:eastAsia="Calibri"/>
          <w:szCs w:val="21"/>
          <w:vertAlign w:val="superscript"/>
        </w:rPr>
        <w:t>[17]</w:t>
      </w:r>
      <w:r>
        <w:rPr>
          <w:rFonts w:eastAsia="Calibri"/>
          <w:szCs w:val="21"/>
        </w:rPr>
        <w:t>基于我国省级层面的面板数据的实证研究指出虽然耕地及劳动力投入在逐年减少，但是由于农田水利灌溉、农业科研、农村教育和农村电力等公共投资的增加使得我国农业总产值仍稳步提升。刘正桥和张亚斌（2013）</w:t>
      </w:r>
      <w:r>
        <w:rPr>
          <w:rFonts w:eastAsia="Calibri"/>
          <w:szCs w:val="21"/>
          <w:vertAlign w:val="superscript"/>
        </w:rPr>
        <w:t>[18]</w:t>
      </w:r>
      <w:r>
        <w:rPr>
          <w:rFonts w:eastAsia="Calibri"/>
          <w:szCs w:val="21"/>
        </w:rPr>
        <w:t>利用柯布道格拉斯生产函数模型估算了在我国交通基础设施投入能带来农业总产出显著增加，但对非农部门的经济增长却不明显。</w:t>
      </w:r>
    </w:p>
    <w:p>
      <w:pPr>
        <w:ind w:firstLine="420"/>
        <w:rPr>
          <w:rFonts w:eastAsia="Calibri"/>
          <w:szCs w:val="21"/>
        </w:rPr>
      </w:pPr>
      <w:r>
        <w:rPr>
          <w:rFonts w:eastAsia="Calibri"/>
          <w:szCs w:val="21"/>
        </w:rPr>
        <w:t>在现有的实证研究中，对农业增长的衡量大多用农业总产值、农业增加值、或用农业产值增长率来反映，从农业全要素生产率的角度探查基础设施投资和农业增长的关系的文献还比较鲜见，尤其是缺乏围绕农村基础设施投资对农业增长的长期效应和短期效应的差异进行比较的研究。本研究尝试回答：我国农村基础设施投资和农业全要素生产率之间是否存在长期稳定的均衡关系？短期动态关系是怎样的？灌溉、电力、公路投资对农业全要素生产率的影响在长期和短期有何差异？</w:t>
      </w:r>
      <w:bookmarkStart w:id="0" w:name="_Toc359506468"/>
      <w:bookmarkEnd w:id="0"/>
      <w:bookmarkStart w:id="1" w:name="_Toc357668372"/>
      <w:bookmarkEnd w:id="1"/>
    </w:p>
    <w:p>
      <w:pPr>
        <w:jc w:val="center"/>
        <w:rPr>
          <w:rFonts w:eastAsia="华文细黑"/>
          <w:szCs w:val="21"/>
        </w:rPr>
      </w:pPr>
      <w:r>
        <w:rPr>
          <w:rFonts w:eastAsia="华文细黑"/>
          <w:szCs w:val="21"/>
        </w:rPr>
        <w:t>三、 实证研究</w:t>
      </w:r>
    </w:p>
    <w:p>
      <w:pPr>
        <w:rPr>
          <w:rFonts w:eastAsia="黑体"/>
          <w:szCs w:val="21"/>
        </w:rPr>
      </w:pPr>
      <w:r>
        <w:rPr>
          <w:rFonts w:eastAsia="黑体"/>
          <w:szCs w:val="21"/>
        </w:rPr>
        <w:t>（一）样本和数据来源</w:t>
      </w:r>
    </w:p>
    <w:p>
      <w:pPr>
        <w:rPr>
          <w:rFonts w:eastAsia="Calibri"/>
          <w:szCs w:val="21"/>
        </w:rPr>
      </w:pPr>
      <w:r>
        <w:rPr>
          <w:rFonts w:eastAsia="Calibri"/>
          <w:szCs w:val="21"/>
        </w:rPr>
        <w:t>1.样本选取</w:t>
      </w:r>
    </w:p>
    <w:p>
      <w:pPr>
        <w:ind w:firstLine="420"/>
        <w:rPr>
          <w:rFonts w:eastAsia="Calibri"/>
          <w:color w:val="0000FF"/>
          <w:szCs w:val="21"/>
        </w:rPr>
      </w:pPr>
      <w:r>
        <w:rPr>
          <w:rFonts w:eastAsia="Calibri"/>
          <w:szCs w:val="21"/>
        </w:rPr>
        <w:t>本研究选取全国层面的时间序列为样本，研究期间是1985至2011年。根据Lin(1992)</w:t>
      </w:r>
      <w:r>
        <w:rPr>
          <w:rFonts w:eastAsia="Calibri"/>
          <w:szCs w:val="21"/>
          <w:vertAlign w:val="superscript"/>
        </w:rPr>
        <w:t>[19]</w:t>
      </w:r>
      <w:r>
        <w:rPr>
          <w:rFonts w:eastAsia="Calibri"/>
          <w:szCs w:val="21"/>
        </w:rPr>
        <w:t>的研究，在农村生产承包责任制实施的初期阶段（1978-1984年间），制度变革是这一时期我国农业全要素生产率呈持续增长的主要动因，之后制度变革的效应已不再明显。因此从1985年开始研究，能够更好地探查农村基础设施投资对农业全要素生产率的影响。</w:t>
      </w:r>
    </w:p>
    <w:p>
      <w:pPr>
        <w:rPr>
          <w:rFonts w:eastAsia="Calibri"/>
          <w:szCs w:val="21"/>
        </w:rPr>
      </w:pPr>
      <w:r>
        <w:rPr>
          <w:rFonts w:eastAsia="Calibri"/>
          <w:szCs w:val="21"/>
        </w:rPr>
        <w:t>2.变量解释</w:t>
      </w:r>
    </w:p>
    <w:p>
      <w:pPr>
        <w:ind w:firstLine="420"/>
        <w:rPr>
          <w:rFonts w:eastAsia="Calibri"/>
          <w:szCs w:val="21"/>
        </w:rPr>
      </w:pPr>
      <w:r>
        <w:rPr>
          <w:rFonts w:eastAsia="Calibri"/>
          <w:szCs w:val="21"/>
        </w:rPr>
        <w:t>（1）农业全要素生产率。全要素生产率的测算方法主要有四类：增长核算法、指数法、数据包络分析(Data Envelope Analysis, DEA)和随机前沿方法(Stochastic Frontier Analysis, SFA)。本研究选用了基于产出的DEA模型对我国农业全要素生产率进行估算，DEA模型具有无需对生产函数的具体形式进行假定的优点，规避了由于生产函数形式选择的不恰当可能导致的全要素生产率估算的偏误的问题。本研究利用1985至2011年间我国大陆30个省区</w:t>
      </w:r>
      <w:r>
        <w:rPr>
          <w:rFonts w:eastAsia="Calibri"/>
          <w:szCs w:val="21"/>
        </w:rPr>
        <w:footnoteReference w:id="1"/>
      </w:r>
      <w:r>
        <w:rPr>
          <w:rFonts w:eastAsia="Calibri"/>
          <w:szCs w:val="21"/>
        </w:rPr>
        <w:t>的农业生产投入及产出数据（DEA模型的变量详见表1），利用DEAP2.1软件估计出各省区在各个年份的全要素生产率环比指数，再以各省区的农业生产总值为权重，采用加权平均法计算出各个年份的全国农业全要素生产率环比指数。</w:t>
      </w:r>
    </w:p>
    <w:p>
      <w:pPr>
        <w:ind w:firstLine="360"/>
        <w:jc w:val="center"/>
        <w:rPr>
          <w:rFonts w:eastAsia="黑体"/>
          <w:sz w:val="18"/>
          <w:szCs w:val="18"/>
        </w:rPr>
      </w:pPr>
      <w:r>
        <w:rPr>
          <w:rFonts w:eastAsia="黑体"/>
          <w:sz w:val="18"/>
          <w:szCs w:val="18"/>
        </w:rPr>
        <w:t>表1 DEA模型的投入和产出变量</w:t>
      </w:r>
    </w:p>
    <w:tbl>
      <w:tblPr>
        <w:tblStyle w:val="15"/>
        <w:tblW w:w="8068" w:type="dxa"/>
        <w:jc w:val="center"/>
        <w:tblInd w:w="0" w:type="dxa"/>
        <w:tblLayout w:type="fixed"/>
        <w:tblCellMar>
          <w:top w:w="0" w:type="dxa"/>
          <w:left w:w="108" w:type="dxa"/>
          <w:bottom w:w="0" w:type="dxa"/>
          <w:right w:w="108" w:type="dxa"/>
        </w:tblCellMar>
      </w:tblPr>
      <w:tblGrid>
        <w:gridCol w:w="1141"/>
        <w:gridCol w:w="6927"/>
      </w:tblGrid>
      <w:tr>
        <w:tblPrEx>
          <w:tblLayout w:type="fixed"/>
        </w:tblPrEx>
        <w:trPr>
          <w:trHeight w:val="285" w:hRule="atLeast"/>
          <w:jc w:val="center"/>
        </w:trPr>
        <w:tc>
          <w:tcPr>
            <w:tcW w:w="1141" w:type="dxa"/>
            <w:tcBorders>
              <w:top w:val="single" w:color="000000" w:sz="4" w:space="0"/>
              <w:left w:val="nil"/>
              <w:bottom w:val="single" w:color="000000" w:sz="4" w:space="0"/>
              <w:right w:val="nil"/>
            </w:tcBorders>
            <w:tcMar>
              <w:top w:w="13" w:type="dxa"/>
              <w:left w:w="13" w:type="dxa"/>
              <w:bottom w:w="0" w:type="dxa"/>
              <w:right w:w="13" w:type="dxa"/>
            </w:tcMar>
            <w:vAlign w:val="center"/>
          </w:tcPr>
          <w:p>
            <w:pPr>
              <w:rPr>
                <w:rFonts w:eastAsia="Calibri"/>
                <w:sz w:val="18"/>
                <w:szCs w:val="18"/>
              </w:rPr>
            </w:pPr>
            <w:r>
              <w:rPr>
                <w:rFonts w:eastAsia="Calibri"/>
                <w:sz w:val="18"/>
                <w:szCs w:val="18"/>
              </w:rPr>
              <w:t>　</w:t>
            </w:r>
          </w:p>
        </w:tc>
        <w:tc>
          <w:tcPr>
            <w:tcW w:w="6927" w:type="dxa"/>
            <w:tcBorders>
              <w:top w:val="single" w:color="000000" w:sz="4" w:space="0"/>
              <w:left w:val="nil"/>
              <w:bottom w:val="single" w:color="000000" w:sz="4" w:space="0"/>
              <w:right w:val="nil"/>
            </w:tcBorders>
            <w:tcMar>
              <w:top w:w="13" w:type="dxa"/>
              <w:left w:w="13" w:type="dxa"/>
              <w:bottom w:w="0" w:type="dxa"/>
              <w:right w:w="13" w:type="dxa"/>
            </w:tcMar>
            <w:vAlign w:val="center"/>
          </w:tcPr>
          <w:p>
            <w:pPr>
              <w:rPr>
                <w:rFonts w:eastAsia="Calibri"/>
                <w:sz w:val="18"/>
                <w:szCs w:val="18"/>
              </w:rPr>
            </w:pPr>
            <w:r>
              <w:rPr>
                <w:rFonts w:eastAsia="Calibri"/>
                <w:sz w:val="18"/>
                <w:szCs w:val="18"/>
              </w:rPr>
              <w:t>变量（单位）</w:t>
            </w:r>
          </w:p>
        </w:tc>
      </w:tr>
      <w:tr>
        <w:tblPrEx>
          <w:tblLayout w:type="fixed"/>
          <w:tblCellMar>
            <w:top w:w="0" w:type="dxa"/>
            <w:left w:w="108" w:type="dxa"/>
            <w:bottom w:w="0" w:type="dxa"/>
            <w:right w:w="108" w:type="dxa"/>
          </w:tblCellMar>
        </w:tblPrEx>
        <w:trPr>
          <w:trHeight w:val="285" w:hRule="atLeast"/>
          <w:jc w:val="center"/>
        </w:trPr>
        <w:tc>
          <w:tcPr>
            <w:tcW w:w="1141" w:type="dxa"/>
            <w:tcBorders>
              <w:top w:val="nil"/>
              <w:left w:val="nil"/>
              <w:bottom w:val="nil"/>
              <w:right w:val="nil"/>
            </w:tcBorders>
            <w:tcMar>
              <w:top w:w="13" w:type="dxa"/>
              <w:left w:w="13" w:type="dxa"/>
              <w:bottom w:w="0" w:type="dxa"/>
              <w:right w:w="13" w:type="dxa"/>
            </w:tcMar>
            <w:vAlign w:val="center"/>
          </w:tcPr>
          <w:p>
            <w:pPr>
              <w:rPr>
                <w:rFonts w:eastAsia="Calibri"/>
                <w:sz w:val="18"/>
                <w:szCs w:val="18"/>
              </w:rPr>
            </w:pPr>
            <w:r>
              <w:rPr>
                <w:rFonts w:eastAsia="Calibri"/>
                <w:sz w:val="18"/>
                <w:szCs w:val="18"/>
              </w:rPr>
              <w:t>农业产出</w:t>
            </w:r>
          </w:p>
        </w:tc>
        <w:tc>
          <w:tcPr>
            <w:tcW w:w="6927" w:type="dxa"/>
            <w:tcBorders>
              <w:top w:val="nil"/>
              <w:left w:val="nil"/>
              <w:bottom w:val="nil"/>
              <w:right w:val="nil"/>
            </w:tcBorders>
            <w:tcMar>
              <w:top w:w="13" w:type="dxa"/>
              <w:left w:w="13" w:type="dxa"/>
              <w:bottom w:w="0" w:type="dxa"/>
              <w:right w:w="13" w:type="dxa"/>
            </w:tcMar>
            <w:vAlign w:val="center"/>
          </w:tcPr>
          <w:p>
            <w:pPr>
              <w:rPr>
                <w:rFonts w:eastAsia="Calibri"/>
                <w:sz w:val="18"/>
                <w:szCs w:val="18"/>
              </w:rPr>
            </w:pPr>
            <w:r>
              <w:rPr>
                <w:rFonts w:eastAsia="Calibri"/>
                <w:sz w:val="18"/>
                <w:szCs w:val="18"/>
              </w:rPr>
              <w:t>农业生产总值（亿元1998年不变价格）</w:t>
            </w:r>
            <w:r>
              <w:rPr>
                <w:rFonts w:eastAsia="Calibri"/>
                <w:sz w:val="18"/>
                <w:szCs w:val="18"/>
              </w:rPr>
              <w:footnoteReference w:id="2"/>
            </w:r>
          </w:p>
        </w:tc>
      </w:tr>
      <w:tr>
        <w:tblPrEx>
          <w:tblLayout w:type="fixed"/>
          <w:tblCellMar>
            <w:top w:w="0" w:type="dxa"/>
            <w:left w:w="108" w:type="dxa"/>
            <w:bottom w:w="0" w:type="dxa"/>
            <w:right w:w="108" w:type="dxa"/>
          </w:tblCellMar>
        </w:tblPrEx>
        <w:trPr>
          <w:trHeight w:val="285" w:hRule="atLeast"/>
          <w:jc w:val="center"/>
        </w:trPr>
        <w:tc>
          <w:tcPr>
            <w:tcW w:w="1141" w:type="dxa"/>
            <w:tcBorders>
              <w:top w:val="nil"/>
              <w:left w:val="nil"/>
              <w:bottom w:val="single" w:color="000000" w:sz="8" w:space="0"/>
              <w:right w:val="nil"/>
            </w:tcBorders>
            <w:tcMar>
              <w:top w:w="13" w:type="dxa"/>
              <w:left w:w="13" w:type="dxa"/>
              <w:bottom w:w="0" w:type="dxa"/>
              <w:right w:w="13" w:type="dxa"/>
            </w:tcMar>
            <w:vAlign w:val="center"/>
          </w:tcPr>
          <w:p>
            <w:pPr>
              <w:rPr>
                <w:rFonts w:eastAsia="Calibri"/>
                <w:sz w:val="18"/>
                <w:szCs w:val="18"/>
              </w:rPr>
            </w:pPr>
            <w:r>
              <w:rPr>
                <w:rFonts w:eastAsia="Calibri"/>
                <w:sz w:val="18"/>
                <w:szCs w:val="18"/>
              </w:rPr>
              <w:t>农业投入</w:t>
            </w:r>
          </w:p>
        </w:tc>
        <w:tc>
          <w:tcPr>
            <w:tcW w:w="6927" w:type="dxa"/>
            <w:tcBorders>
              <w:top w:val="nil"/>
              <w:left w:val="nil"/>
              <w:bottom w:val="single" w:color="000000" w:sz="8" w:space="0"/>
              <w:right w:val="nil"/>
            </w:tcBorders>
            <w:tcMar>
              <w:top w:w="13" w:type="dxa"/>
              <w:left w:w="13" w:type="dxa"/>
              <w:bottom w:w="0" w:type="dxa"/>
              <w:right w:w="13" w:type="dxa"/>
            </w:tcMar>
            <w:vAlign w:val="center"/>
          </w:tcPr>
          <w:p>
            <w:pPr>
              <w:rPr>
                <w:rFonts w:eastAsia="Calibri"/>
                <w:sz w:val="18"/>
                <w:szCs w:val="18"/>
              </w:rPr>
            </w:pPr>
            <w:r>
              <w:rPr>
                <w:rFonts w:eastAsia="Calibri"/>
                <w:sz w:val="18"/>
                <w:szCs w:val="18"/>
              </w:rPr>
              <w:t>农林牧渔业就业人员（万人）、农作物播种面积（千公顷）、</w:t>
            </w:r>
          </w:p>
          <w:p>
            <w:pPr>
              <w:rPr>
                <w:rFonts w:eastAsia="Calibri"/>
                <w:sz w:val="18"/>
                <w:szCs w:val="18"/>
              </w:rPr>
            </w:pPr>
            <w:r>
              <w:rPr>
                <w:rFonts w:eastAsia="Calibri"/>
                <w:sz w:val="18"/>
                <w:szCs w:val="18"/>
              </w:rPr>
              <w:t>农业机械总动力（万千瓦）、有效灌溉面积（千公顷）、农用化肥施肥量（万吨）、役畜（万头）</w:t>
            </w:r>
          </w:p>
        </w:tc>
      </w:tr>
    </w:tbl>
    <w:p>
      <w:pPr>
        <w:ind w:firstLine="420"/>
        <w:jc w:val="left"/>
        <w:rPr>
          <w:rFonts w:eastAsia="Calibri"/>
          <w:szCs w:val="21"/>
        </w:rPr>
      </w:pPr>
      <w:r>
        <w:rPr>
          <w:rFonts w:eastAsia="Calibri"/>
          <w:szCs w:val="21"/>
        </w:rPr>
        <w:t>环比指数反映的是研究对象在当期和上一期指标之间的对比，侧重于反映短期的变动效果，因此为了更好地刻画中国农业全要素生产率在1985年至2011年期间的累积变化效应，将各年的环比指数换算成以1985年为基期的农业全要素生产率累积指数，计算结果如图1所示。在1985至1990年期间农业全要素生产率呈现出下降的趋势，这同Hsu等(2003)</w:t>
      </w:r>
      <w:r>
        <w:rPr>
          <w:rFonts w:eastAsia="Calibri"/>
          <w:szCs w:val="21"/>
          <w:vertAlign w:val="superscript"/>
        </w:rPr>
        <w:t>[21]</w:t>
      </w:r>
      <w:r>
        <w:rPr>
          <w:rFonts w:eastAsia="Calibri"/>
          <w:szCs w:val="21"/>
        </w:rPr>
        <w:t>和Lin（1992）</w:t>
      </w:r>
      <w:r>
        <w:rPr>
          <w:rFonts w:eastAsia="Calibri"/>
          <w:szCs w:val="21"/>
          <w:vertAlign w:val="superscript"/>
        </w:rPr>
        <w:t>[19]</w:t>
      </w:r>
      <w:r>
        <w:rPr>
          <w:rFonts w:eastAsia="Calibri"/>
          <w:szCs w:val="21"/>
        </w:rPr>
        <w:t>的研究结论相似，他们将这一现象解释成在改革开放初期，农业全要素生产率经历了一个由家庭联产承包制诱导的高增长时期（1979-1984年），但随着制度变革带来的农业全要素生产率增长效应的逐渐显现，随之而来的是一个农业全要素生产率的停滞甚至下降阶段。1991年以后，农业全要素生产率呈现出逐年增长的趋势，整个研究期间全国农业全要素生产率年均增加2.2%。</w:t>
      </w:r>
    </w:p>
    <w:p>
      <w:pPr>
        <w:ind w:firstLine="420"/>
        <w:jc w:val="center"/>
        <w:rPr>
          <w:rFonts w:eastAsia="Calibri"/>
          <w:szCs w:val="21"/>
        </w:rPr>
      </w:pPr>
      <w:r>
        <w:drawing>
          <wp:inline distT="0" distB="0" distL="0" distR="0">
            <wp:extent cx="4070985" cy="1351915"/>
            <wp:effectExtent l="0" t="0" r="0" b="0"/>
            <wp:docPr id="1" name="对象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对象 1"/>
                    <pic:cNvPicPr>
                      <a:picLocks noChangeAspect="1"/>
                    </pic:cNvPicPr>
                  </pic:nvPicPr>
                  <pic:blipFill>
                    <a:blip/>
                    <a:stretch>
                      <a:fillRect/>
                    </a:stretch>
                  </pic:blipFill>
                  <pic:spPr>
                    <a:xfrm>
                      <a:off x="0" y="0"/>
                      <a:ext cx="4070985" cy="1351915"/>
                    </a:xfrm>
                    <a:prstGeom prst="rect">
                      <a:avLst/>
                    </a:prstGeom>
                    <a:noFill/>
                    <a:ln w="9525">
                      <a:noFill/>
                    </a:ln>
                  </pic:spPr>
                </pic:pic>
              </a:graphicData>
            </a:graphic>
          </wp:inline>
        </w:drawing>
      </w:r>
    </w:p>
    <w:p>
      <w:pPr>
        <w:ind w:firstLine="360"/>
        <w:jc w:val="center"/>
        <w:rPr>
          <w:rFonts w:eastAsia="黑体"/>
          <w:sz w:val="18"/>
          <w:szCs w:val="18"/>
        </w:rPr>
      </w:pPr>
      <w:r>
        <w:rPr>
          <w:rFonts w:eastAsia="黑体"/>
          <w:sz w:val="18"/>
          <w:szCs w:val="18"/>
        </w:rPr>
        <w:t>图11985-2011我国农业全要素生产率累积指数</w:t>
      </w:r>
    </w:p>
    <w:p>
      <w:pPr>
        <w:ind w:firstLine="420"/>
        <w:rPr>
          <w:rFonts w:eastAsia="Calibri"/>
          <w:szCs w:val="21"/>
        </w:rPr>
      </w:pPr>
      <w:r>
        <w:rPr>
          <w:rFonts w:eastAsia="Calibri"/>
          <w:szCs w:val="21"/>
        </w:rPr>
        <w:t>（2）农村基础设施投资。基础设施投资效应的发挥有一定的滞后性和延续性，一项基础设施从投入到建成，需要数年的时间。如果基于资产核算原则对基础设施投资规模进行估算，不仅需要详尽的基础设施投入资金的数据，还需要选取适当的折旧率、折旧年限及折旧方法。然而，对于不同类型的基础设施的折旧率、折旧年限、以及折旧方法不尽相同，研究者在选择时具有较强的主观性，对基础设施资本核算方法的不一致也导致了不同学者的研究结论可比性不强。因此，本研究参考Jain等（2009）</w:t>
      </w:r>
      <w:r>
        <w:rPr>
          <w:rFonts w:eastAsia="Calibri"/>
          <w:szCs w:val="21"/>
          <w:vertAlign w:val="superscript"/>
        </w:rPr>
        <w:t>[9]</w:t>
      </w:r>
      <w:r>
        <w:rPr>
          <w:rFonts w:eastAsia="Calibri"/>
          <w:szCs w:val="21"/>
        </w:rPr>
        <w:t>、汪小勤和姜涛（2009）</w:t>
      </w:r>
      <w:r>
        <w:rPr>
          <w:rFonts w:eastAsia="Calibri"/>
          <w:szCs w:val="21"/>
          <w:vertAlign w:val="superscript"/>
        </w:rPr>
        <w:t>[22]</w:t>
      </w:r>
      <w:r>
        <w:rPr>
          <w:rFonts w:eastAsia="Calibri"/>
          <w:szCs w:val="21"/>
        </w:rPr>
        <w:t>的做法，采用基础设施投资形成的实物规模作为基础设施投资的代理变量。基础设施投资的实物载体能客观地反映当期经济体能够实际利用的具体的实物形态的基础设施的规模，是一个物理指标，采用这种方式衡量基础设施投资规模不仅能克服基础设施存量估算中的面临的主观性选择，还能充分利用公开发布的数据资源，实证研究结论的可比性强。公路投资、灌溉投资以及电力投资的衡量方式解释如下。</w:t>
      </w:r>
    </w:p>
    <w:p>
      <w:pPr>
        <w:ind w:firstLine="435"/>
        <w:rPr>
          <w:rFonts w:eastAsia="Calibri"/>
          <w:szCs w:val="21"/>
        </w:rPr>
      </w:pPr>
      <w:r>
        <w:rPr>
          <w:rFonts w:eastAsia="Calibri"/>
          <w:szCs w:val="21"/>
        </w:rPr>
        <w:t>公路投资(Road)用全国农村公路里程（单位：万公里）来衡量。我国现行统计制度中关于公路里程的分类统计，一是按照公路的技术等级化分为高速公路、一级公路、二级公路、三级公路、四级公路和等外公路；二是根据行政等级划分为国道、省道、县道、乡道和村道。根据《农村公路建设管理办法》中的规定，农村公路包括县道、乡道和村道</w:t>
      </w:r>
      <w:r>
        <w:rPr>
          <w:rFonts w:eastAsia="Calibri"/>
          <w:szCs w:val="21"/>
        </w:rPr>
        <w:footnoteReference w:id="3"/>
      </w:r>
      <w:r>
        <w:rPr>
          <w:rFonts w:eastAsia="Calibri"/>
          <w:szCs w:val="21"/>
        </w:rPr>
        <w:t>。但是，在2002年之前我国统计调查体系中并没有系统按照行政等级统计的县乡公路数据，因此直接利用县乡道路数据将面临数据缺失的问题。由于县乡道路的等级质量较低，因此对于2002年以前的全国农村公路里程，采用从公路总里程扣除高速公路和一级公路计算而得，也就是将二级公路、三级公路、四级公路和等外公路的总和视为农村公路。2003年以后的全国农村公路里程的数据来自交通部的农村公路专项调查以及各年发布的统计公报。</w:t>
      </w:r>
    </w:p>
    <w:p>
      <w:pPr>
        <w:ind w:firstLine="435"/>
        <w:rPr>
          <w:rFonts w:eastAsia="Calibri"/>
          <w:szCs w:val="21"/>
        </w:rPr>
      </w:pPr>
      <w:r>
        <w:rPr>
          <w:rFonts w:eastAsia="Calibri"/>
          <w:szCs w:val="21"/>
        </w:rPr>
        <w:t>灌溉投资(Irrigation)用全国有效灌溉面积（单位：千公顷）来衡量，有效灌溉面积是指具有一定的水源，地块比较平整，灌溉工程或设备已经配套，在一般年景下能够进行正常灌溉的耕地面积。随着自然环境水文地质条件的恶化，农业生产对人工灌溉依赖性日趋增强，我国农村已开始推广喷灌、微灌、地下滴灌等节水灌溉技术。因此有效灌溉面积能客观反映我国农村灌溉设施投资的成效。</w:t>
      </w:r>
    </w:p>
    <w:p>
      <w:pPr>
        <w:ind w:firstLine="435"/>
        <w:rPr>
          <w:rFonts w:eastAsia="Calibri"/>
          <w:szCs w:val="21"/>
        </w:rPr>
      </w:pPr>
      <w:r>
        <w:rPr>
          <w:rFonts w:eastAsia="Calibri"/>
          <w:szCs w:val="21"/>
        </w:rPr>
        <w:t>电力投资(Power)用农村水电装机容量（单位：万千瓦）来衡量，是乡村、集体各种合作经济组织办的水电站所有发电机组的设备容量。</w:t>
      </w:r>
      <w:bookmarkStart w:id="2" w:name="_Toc359506470"/>
      <w:bookmarkEnd w:id="2"/>
      <w:bookmarkStart w:id="3" w:name="_Toc357668374"/>
      <w:bookmarkEnd w:id="3"/>
      <w:r>
        <w:rPr>
          <w:rFonts w:eastAsia="Calibri"/>
          <w:szCs w:val="21"/>
        </w:rPr>
        <w:t>乡村办水电站的的供电范围主要是居住在电站周边的乡、镇、村农户，能有效缓解用电高峰的电荒问题，保障农村生产生活的正常进行，乡村办水电站的发电能力是农村电力投资的重要衡量指标。</w:t>
      </w:r>
    </w:p>
    <w:p>
      <w:pPr>
        <w:rPr>
          <w:rFonts w:eastAsia="黑体"/>
          <w:szCs w:val="21"/>
        </w:rPr>
      </w:pPr>
      <w:r>
        <w:rPr>
          <w:rFonts w:eastAsia="黑体"/>
          <w:szCs w:val="21"/>
        </w:rPr>
        <w:t>（二）时间序列的检验</w:t>
      </w:r>
    </w:p>
    <w:p>
      <w:pPr>
        <w:rPr>
          <w:rFonts w:eastAsia="Calibri"/>
          <w:szCs w:val="21"/>
        </w:rPr>
      </w:pPr>
      <w:r>
        <w:rPr>
          <w:rFonts w:eastAsia="Calibri"/>
          <w:szCs w:val="21"/>
        </w:rPr>
        <w:t>1. 时间序列的平稳性检验</w:t>
      </w:r>
    </w:p>
    <w:p>
      <w:pPr>
        <w:ind w:firstLine="420"/>
        <w:rPr>
          <w:rFonts w:eastAsia="Calibri"/>
          <w:szCs w:val="21"/>
        </w:rPr>
      </w:pPr>
      <w:r>
        <w:rPr>
          <w:rFonts w:eastAsia="Calibri"/>
          <w:szCs w:val="21"/>
        </w:rPr>
        <w:t>由于研究期间跨越1985至2011年，研究期间较长，时间序列可能呈现出明显的趋势性，是非平稳序列，而把非平稳的时间序列用于以平稳序列为基础的计量经济回归分析，会影响分析的有效性。因此有必要先对研究序列的平稳性做出检验。对时间序列LnTFP, LnRoad, LnIrrigation, LnPower的平稳性进行检验，结果列在表2中。</w:t>
      </w:r>
    </w:p>
    <w:p>
      <w:pPr>
        <w:jc w:val="center"/>
        <w:rPr>
          <w:rFonts w:ascii="Times New Roman" w:hAnsi="Times New Roman" w:cs="Times New Roman"/>
          <w:sz w:val="18"/>
          <w:szCs w:val="18"/>
        </w:rPr>
      </w:pPr>
      <w:bookmarkStart w:id="4" w:name="_Toc359506643"/>
      <w:bookmarkEnd w:id="4"/>
      <w:r>
        <w:rPr>
          <w:rFonts w:ascii="Times New Roman" w:hAnsi="Times New Roman" w:cs="Times New Roman"/>
          <w:color w:val="FFFFFF"/>
          <w:sz w:val="18"/>
          <w:szCs w:val="18"/>
        </w:rPr>
        <w:t>表格</w:t>
      </w:r>
      <w:r>
        <w:rPr>
          <w:rFonts w:ascii="Times New Roman" w:hAnsi="Times New Roman" w:cs="Times New Roman"/>
          <w:color w:val="FFFFFF"/>
          <w:sz w:val="18"/>
          <w:szCs w:val="18"/>
        </w:rPr>
        <w:fldChar w:fldCharType="begin"/>
      </w:r>
      <w:r>
        <w:rPr>
          <w:rFonts w:ascii="Times New Roman" w:hAnsi="Times New Roman" w:cs="Times New Roman"/>
          <w:color w:val="FFFFFF"/>
          <w:sz w:val="18"/>
          <w:szCs w:val="18"/>
        </w:rPr>
        <w:instrText xml:space="preserve"> SEQ "表格" \* Arabic </w:instrText>
      </w:r>
      <w:r>
        <w:rPr>
          <w:rFonts w:ascii="Times New Roman" w:hAnsi="Times New Roman" w:cs="Times New Roman"/>
          <w:color w:val="FFFFFF"/>
          <w:sz w:val="18"/>
          <w:szCs w:val="18"/>
        </w:rPr>
        <w:fldChar w:fldCharType="separate"/>
      </w:r>
      <w:r>
        <w:rPr>
          <w:rFonts w:ascii="Times New Roman" w:hAnsi="Times New Roman" w:cs="Times New Roman"/>
          <w:color w:val="FFFFFF"/>
          <w:sz w:val="18"/>
          <w:szCs w:val="18"/>
        </w:rPr>
        <w:t>1</w:t>
      </w:r>
      <w:r>
        <w:rPr>
          <w:rFonts w:ascii="Times New Roman" w:hAnsi="Times New Roman" w:cs="Times New Roman"/>
          <w:color w:val="FFFFFF"/>
          <w:sz w:val="18"/>
          <w:szCs w:val="18"/>
        </w:rPr>
        <w:fldChar w:fldCharType="end"/>
      </w:r>
      <w:r>
        <w:rPr>
          <w:rFonts w:ascii="Times New Roman" w:hAnsi="Times New Roman" w:cs="Times New Roman"/>
          <w:b/>
          <w:sz w:val="18"/>
          <w:szCs w:val="18"/>
        </w:rPr>
        <w:t>表2时间序列平稳性检验</w:t>
      </w:r>
    </w:p>
    <w:tbl>
      <w:tblPr>
        <w:tblStyle w:val="15"/>
        <w:tblW w:w="8514" w:type="dxa"/>
        <w:jc w:val="center"/>
        <w:tblInd w:w="0" w:type="dxa"/>
        <w:tblLayout w:type="fixed"/>
        <w:tblCellMar>
          <w:top w:w="0" w:type="dxa"/>
          <w:left w:w="108" w:type="dxa"/>
          <w:bottom w:w="0" w:type="dxa"/>
          <w:right w:w="108" w:type="dxa"/>
        </w:tblCellMar>
      </w:tblPr>
      <w:tblGrid>
        <w:gridCol w:w="1585"/>
        <w:gridCol w:w="2633"/>
        <w:gridCol w:w="1432"/>
        <w:gridCol w:w="1432"/>
        <w:gridCol w:w="1432"/>
      </w:tblGrid>
      <w:tr>
        <w:tblPrEx>
          <w:tblLayout w:type="fixed"/>
          <w:tblCellMar>
            <w:top w:w="0" w:type="dxa"/>
            <w:left w:w="108" w:type="dxa"/>
            <w:bottom w:w="0" w:type="dxa"/>
            <w:right w:w="108" w:type="dxa"/>
          </w:tblCellMar>
        </w:tblPrEx>
        <w:trPr>
          <w:trHeight w:val="300" w:hRule="atLeast"/>
          <w:jc w:val="center"/>
        </w:trPr>
        <w:tc>
          <w:tcPr>
            <w:tcW w:w="1585" w:type="dxa"/>
            <w:tcBorders>
              <w:top w:val="single" w:color="000000" w:sz="8" w:space="0"/>
              <w:left w:val="nil"/>
              <w:bottom w:val="single" w:color="000000" w:sz="8" w:space="0"/>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序列</w:t>
            </w:r>
          </w:p>
        </w:tc>
        <w:tc>
          <w:tcPr>
            <w:tcW w:w="2633" w:type="dxa"/>
            <w:tcBorders>
              <w:top w:val="single" w:color="000000" w:sz="8" w:space="0"/>
              <w:left w:val="nil"/>
              <w:bottom w:val="single" w:color="000000" w:sz="8" w:space="0"/>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ADF检验模型形式(c,t,k)</w:t>
            </w:r>
          </w:p>
        </w:tc>
        <w:tc>
          <w:tcPr>
            <w:tcW w:w="1432" w:type="dxa"/>
            <w:tcBorders>
              <w:top w:val="single" w:color="000000" w:sz="8" w:space="0"/>
              <w:left w:val="nil"/>
              <w:bottom w:val="single" w:color="000000" w:sz="8" w:space="0"/>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ADF统计量</w:t>
            </w:r>
          </w:p>
        </w:tc>
        <w:tc>
          <w:tcPr>
            <w:tcW w:w="1432" w:type="dxa"/>
            <w:tcBorders>
              <w:top w:val="single" w:color="000000" w:sz="8" w:space="0"/>
              <w:left w:val="nil"/>
              <w:bottom w:val="single" w:color="000000" w:sz="8" w:space="0"/>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P值</w:t>
            </w:r>
          </w:p>
        </w:tc>
        <w:tc>
          <w:tcPr>
            <w:tcW w:w="1432" w:type="dxa"/>
            <w:tcBorders>
              <w:top w:val="single" w:color="000000" w:sz="8" w:space="0"/>
              <w:left w:val="nil"/>
              <w:bottom w:val="single" w:color="000000" w:sz="8" w:space="0"/>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结论</w:t>
            </w:r>
          </w:p>
        </w:tc>
      </w:tr>
      <w:tr>
        <w:tblPrEx>
          <w:tblLayout w:type="fixed"/>
          <w:tblCellMar>
            <w:top w:w="0" w:type="dxa"/>
            <w:left w:w="108" w:type="dxa"/>
            <w:bottom w:w="0" w:type="dxa"/>
            <w:right w:w="108" w:type="dxa"/>
          </w:tblCellMar>
        </w:tblPrEx>
        <w:trPr>
          <w:trHeight w:val="285" w:hRule="atLeast"/>
          <w:jc w:val="center"/>
        </w:trPr>
        <w:tc>
          <w:tcPr>
            <w:tcW w:w="1585" w:type="dxa"/>
            <w:tcBorders>
              <w:top w:val="single" w:color="000000" w:sz="8" w:space="0"/>
              <w:left w:val="nil"/>
              <w:bottom w:val="nil"/>
              <w:right w:val="nil"/>
            </w:tcBorders>
            <w:tcMar>
              <w:top w:w="0" w:type="dxa"/>
              <w:left w:w="108" w:type="dxa"/>
              <w:bottom w:w="0" w:type="dxa"/>
              <w:right w:w="108" w:type="dxa"/>
            </w:tcMar>
            <w:vAlign w:val="center"/>
          </w:tcPr>
          <w:p>
            <w:pPr>
              <w:widowControl/>
              <w:jc w:val="left"/>
              <w:rPr>
                <w:rFonts w:eastAsia="Calibri"/>
                <w:sz w:val="18"/>
                <w:szCs w:val="18"/>
              </w:rPr>
            </w:pPr>
            <w:r>
              <w:rPr>
                <w:rFonts w:eastAsia="Calibri"/>
                <w:sz w:val="18"/>
                <w:szCs w:val="18"/>
              </w:rPr>
              <w:t>LnTFP</w:t>
            </w:r>
          </w:p>
        </w:tc>
        <w:tc>
          <w:tcPr>
            <w:tcW w:w="2633" w:type="dxa"/>
            <w:tcBorders>
              <w:top w:val="single" w:color="000000" w:sz="8" w:space="0"/>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(c,t,1)</w:t>
            </w:r>
          </w:p>
        </w:tc>
        <w:tc>
          <w:tcPr>
            <w:tcW w:w="1432" w:type="dxa"/>
            <w:tcBorders>
              <w:top w:val="single" w:color="000000" w:sz="8" w:space="0"/>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 xml:space="preserve">1.415 </w:t>
            </w:r>
          </w:p>
        </w:tc>
        <w:tc>
          <w:tcPr>
            <w:tcW w:w="1432" w:type="dxa"/>
            <w:tcBorders>
              <w:top w:val="single" w:color="000000" w:sz="8" w:space="0"/>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 xml:space="preserve">0.957 </w:t>
            </w:r>
          </w:p>
        </w:tc>
        <w:tc>
          <w:tcPr>
            <w:tcW w:w="1432" w:type="dxa"/>
            <w:tcBorders>
              <w:top w:val="single" w:color="000000" w:sz="8" w:space="0"/>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非平稳</w:t>
            </w:r>
          </w:p>
        </w:tc>
      </w:tr>
      <w:tr>
        <w:tblPrEx>
          <w:tblLayout w:type="fixed"/>
          <w:tblCellMar>
            <w:top w:w="0" w:type="dxa"/>
            <w:left w:w="108" w:type="dxa"/>
            <w:bottom w:w="0" w:type="dxa"/>
            <w:right w:w="108" w:type="dxa"/>
          </w:tblCellMar>
        </w:tblPrEx>
        <w:trPr>
          <w:trHeight w:val="285" w:hRule="atLeast"/>
          <w:jc w:val="center"/>
        </w:trPr>
        <w:tc>
          <w:tcPr>
            <w:tcW w:w="1585" w:type="dxa"/>
            <w:tcBorders>
              <w:top w:val="nil"/>
              <w:left w:val="nil"/>
              <w:bottom w:val="nil"/>
              <w:right w:val="nil"/>
            </w:tcBorders>
            <w:tcMar>
              <w:top w:w="0" w:type="dxa"/>
              <w:left w:w="108" w:type="dxa"/>
              <w:bottom w:w="0" w:type="dxa"/>
              <w:right w:w="108" w:type="dxa"/>
            </w:tcMar>
            <w:vAlign w:val="center"/>
          </w:tcPr>
          <w:p>
            <w:pPr>
              <w:widowControl/>
              <w:jc w:val="left"/>
              <w:rPr>
                <w:rFonts w:eastAsia="Calibri"/>
                <w:sz w:val="18"/>
                <w:szCs w:val="18"/>
              </w:rPr>
            </w:pPr>
            <w:r>
              <w:rPr>
                <w:rFonts w:eastAsia="Calibri"/>
                <w:sz w:val="18"/>
                <w:szCs w:val="18"/>
              </w:rPr>
              <w:t>LnRoad</w:t>
            </w:r>
          </w:p>
        </w:tc>
        <w:tc>
          <w:tcPr>
            <w:tcW w:w="2633"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(c,t,1)</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 xml:space="preserve">-1.824 </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 xml:space="preserve">0.664 </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非平稳</w:t>
            </w:r>
          </w:p>
        </w:tc>
      </w:tr>
      <w:tr>
        <w:tblPrEx>
          <w:tblLayout w:type="fixed"/>
          <w:tblCellMar>
            <w:top w:w="0" w:type="dxa"/>
            <w:left w:w="108" w:type="dxa"/>
            <w:bottom w:w="0" w:type="dxa"/>
            <w:right w:w="108" w:type="dxa"/>
          </w:tblCellMar>
        </w:tblPrEx>
        <w:trPr>
          <w:trHeight w:val="285" w:hRule="atLeast"/>
          <w:jc w:val="center"/>
        </w:trPr>
        <w:tc>
          <w:tcPr>
            <w:tcW w:w="1585" w:type="dxa"/>
            <w:tcBorders>
              <w:top w:val="nil"/>
              <w:left w:val="nil"/>
              <w:bottom w:val="nil"/>
              <w:right w:val="nil"/>
            </w:tcBorders>
            <w:tcMar>
              <w:top w:w="0" w:type="dxa"/>
              <w:left w:w="108" w:type="dxa"/>
              <w:bottom w:w="0" w:type="dxa"/>
              <w:right w:w="108" w:type="dxa"/>
            </w:tcMar>
            <w:vAlign w:val="center"/>
          </w:tcPr>
          <w:p>
            <w:pPr>
              <w:widowControl/>
              <w:jc w:val="left"/>
              <w:rPr>
                <w:rFonts w:eastAsia="Calibri"/>
                <w:sz w:val="18"/>
                <w:szCs w:val="18"/>
              </w:rPr>
            </w:pPr>
            <w:r>
              <w:rPr>
                <w:rFonts w:eastAsia="Calibri"/>
                <w:sz w:val="18"/>
                <w:szCs w:val="18"/>
              </w:rPr>
              <w:t>LnIrrigation</w:t>
            </w:r>
          </w:p>
        </w:tc>
        <w:tc>
          <w:tcPr>
            <w:tcW w:w="2633"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(c,t,2)</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 xml:space="preserve">-2.914 </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 xml:space="preserve">0.176 </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非平稳</w:t>
            </w:r>
          </w:p>
        </w:tc>
      </w:tr>
      <w:tr>
        <w:tblPrEx>
          <w:tblLayout w:type="fixed"/>
          <w:tblCellMar>
            <w:top w:w="0" w:type="dxa"/>
            <w:left w:w="108" w:type="dxa"/>
            <w:bottom w:w="0" w:type="dxa"/>
            <w:right w:w="108" w:type="dxa"/>
          </w:tblCellMar>
        </w:tblPrEx>
        <w:trPr>
          <w:trHeight w:val="285" w:hRule="atLeast"/>
          <w:jc w:val="center"/>
        </w:trPr>
        <w:tc>
          <w:tcPr>
            <w:tcW w:w="1585" w:type="dxa"/>
            <w:tcBorders>
              <w:top w:val="nil"/>
              <w:left w:val="nil"/>
              <w:bottom w:val="nil"/>
              <w:right w:val="nil"/>
            </w:tcBorders>
            <w:tcMar>
              <w:top w:w="0" w:type="dxa"/>
              <w:left w:w="108" w:type="dxa"/>
              <w:bottom w:w="0" w:type="dxa"/>
              <w:right w:w="108" w:type="dxa"/>
            </w:tcMar>
            <w:vAlign w:val="center"/>
          </w:tcPr>
          <w:p>
            <w:pPr>
              <w:widowControl/>
              <w:jc w:val="left"/>
              <w:rPr>
                <w:rFonts w:eastAsia="Calibri"/>
                <w:sz w:val="18"/>
                <w:szCs w:val="18"/>
              </w:rPr>
            </w:pPr>
            <w:r>
              <w:rPr>
                <w:rFonts w:eastAsia="Calibri"/>
                <w:sz w:val="18"/>
                <w:szCs w:val="18"/>
              </w:rPr>
              <w:t>LnPower</w:t>
            </w:r>
          </w:p>
        </w:tc>
        <w:tc>
          <w:tcPr>
            <w:tcW w:w="2633"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(c,t,3)</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-1.104</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0.909</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非平稳</w:t>
            </w:r>
          </w:p>
        </w:tc>
      </w:tr>
      <w:tr>
        <w:tblPrEx>
          <w:tblLayout w:type="fixed"/>
          <w:tblCellMar>
            <w:top w:w="0" w:type="dxa"/>
            <w:left w:w="108" w:type="dxa"/>
            <w:bottom w:w="0" w:type="dxa"/>
            <w:right w:w="108" w:type="dxa"/>
          </w:tblCellMar>
        </w:tblPrEx>
        <w:trPr>
          <w:trHeight w:val="285" w:hRule="atLeast"/>
          <w:jc w:val="center"/>
        </w:trPr>
        <w:tc>
          <w:tcPr>
            <w:tcW w:w="1585" w:type="dxa"/>
            <w:tcBorders>
              <w:top w:val="nil"/>
              <w:left w:val="nil"/>
              <w:bottom w:val="nil"/>
              <w:right w:val="nil"/>
            </w:tcBorders>
            <w:tcMar>
              <w:top w:w="0" w:type="dxa"/>
              <w:left w:w="108" w:type="dxa"/>
              <w:bottom w:w="0" w:type="dxa"/>
              <w:right w:w="108" w:type="dxa"/>
            </w:tcMar>
            <w:vAlign w:val="center"/>
          </w:tcPr>
          <w:p>
            <w:pPr>
              <w:widowControl/>
              <w:jc w:val="left"/>
              <w:rPr>
                <w:rFonts w:eastAsia="Calibri"/>
                <w:sz w:val="18"/>
                <w:szCs w:val="18"/>
              </w:rPr>
            </w:pPr>
            <w:r>
              <w:object>
                <v:shape id="_x0000_i1025" o:spt="75" type="#_x0000_t75" style="height:15.15pt;width:38.45pt;" o:ole="t" filled="f" o:preferrelative="t" stroked="f" coordsize="21600,21600">
                  <v:path/>
                  <v:fill on="f" focussize="0,0"/>
                  <v:stroke on="f"/>
                  <v:imagedata r:id="rId6" o:title="media/image1"/>
                  <o:lock v:ext="edit" aspectratio="t"/>
                  <w10:wrap type="none"/>
                  <w10:anchorlock/>
                </v:shape>
                <o:OLEObject Type="Embed" ProgID="MathType 6.0 Equation" ShapeID="_x0000_i1025" DrawAspect="Content" ObjectID="_1468075725" r:id="rId5">
                  <o:LockedField>false</o:LockedField>
                </o:OLEObject>
              </w:object>
            </w:r>
          </w:p>
        </w:tc>
        <w:tc>
          <w:tcPr>
            <w:tcW w:w="2633"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(c,t,6)</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-3.496</w:t>
            </w:r>
            <w:r>
              <w:rPr>
                <w:rFonts w:eastAsia="Calibri"/>
                <w:sz w:val="18"/>
                <w:szCs w:val="18"/>
                <w:vertAlign w:val="superscript"/>
              </w:rPr>
              <w:t>*</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 xml:space="preserve">0.062 </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平稳</w:t>
            </w:r>
          </w:p>
        </w:tc>
      </w:tr>
      <w:tr>
        <w:tblPrEx>
          <w:tblLayout w:type="fixed"/>
          <w:tblCellMar>
            <w:top w:w="0" w:type="dxa"/>
            <w:left w:w="108" w:type="dxa"/>
            <w:bottom w:w="0" w:type="dxa"/>
            <w:right w:w="108" w:type="dxa"/>
          </w:tblCellMar>
        </w:tblPrEx>
        <w:trPr>
          <w:trHeight w:val="285" w:hRule="atLeast"/>
          <w:jc w:val="center"/>
        </w:trPr>
        <w:tc>
          <w:tcPr>
            <w:tcW w:w="1585" w:type="dxa"/>
            <w:tcBorders>
              <w:top w:val="nil"/>
              <w:left w:val="nil"/>
              <w:bottom w:val="nil"/>
              <w:right w:val="nil"/>
            </w:tcBorders>
            <w:tcMar>
              <w:top w:w="0" w:type="dxa"/>
              <w:left w:w="108" w:type="dxa"/>
              <w:bottom w:w="0" w:type="dxa"/>
              <w:right w:w="108" w:type="dxa"/>
            </w:tcMar>
            <w:vAlign w:val="bottom"/>
          </w:tcPr>
          <w:p>
            <w:pPr>
              <w:rPr>
                <w:rFonts w:eastAsia="Calibri"/>
                <w:sz w:val="18"/>
                <w:szCs w:val="18"/>
              </w:rPr>
            </w:pPr>
            <w:r>
              <w:object>
                <v:shape id="_x0000_i1027" o:spt="75" type="#_x0000_t75" style="height:15.15pt;width:43.85pt;" o:ole="t" filled="f" o:preferrelative="t" stroked="f" coordsize="21600,21600">
                  <v:path/>
                  <v:fill on="f" focussize="0,0"/>
                  <v:stroke on="f"/>
                  <v:imagedata r:id="rId8" o:title="media/image2"/>
                  <o:lock v:ext="edit" aspectratio="t"/>
                  <w10:wrap type="none"/>
                  <w10:anchorlock/>
                </v:shape>
                <o:OLEObject Type="Embed" ProgID="MathType 6.0 Equation" ShapeID="_x0000_i1027" DrawAspect="Content" ObjectID="_1468075726" r:id="rId7">
                  <o:LockedField>false</o:LockedField>
                </o:OLEObject>
              </w:object>
            </w:r>
          </w:p>
        </w:tc>
        <w:tc>
          <w:tcPr>
            <w:tcW w:w="2633"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(c,t,0)</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 xml:space="preserve">-5.342 </w:t>
            </w:r>
            <w:r>
              <w:rPr>
                <w:rFonts w:eastAsia="Calibri"/>
                <w:sz w:val="18"/>
                <w:szCs w:val="18"/>
                <w:vertAlign w:val="superscript"/>
              </w:rPr>
              <w:t>***</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 xml:space="preserve">0.001 </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平稳</w:t>
            </w:r>
          </w:p>
        </w:tc>
      </w:tr>
      <w:tr>
        <w:tblPrEx>
          <w:tblLayout w:type="fixed"/>
          <w:tblCellMar>
            <w:top w:w="0" w:type="dxa"/>
            <w:left w:w="108" w:type="dxa"/>
            <w:bottom w:w="0" w:type="dxa"/>
            <w:right w:w="108" w:type="dxa"/>
          </w:tblCellMar>
        </w:tblPrEx>
        <w:trPr>
          <w:trHeight w:val="285" w:hRule="atLeast"/>
          <w:jc w:val="center"/>
        </w:trPr>
        <w:tc>
          <w:tcPr>
            <w:tcW w:w="1585" w:type="dxa"/>
            <w:tcBorders>
              <w:top w:val="nil"/>
              <w:left w:val="nil"/>
              <w:bottom w:val="nil"/>
              <w:right w:val="nil"/>
            </w:tcBorders>
            <w:tcMar>
              <w:top w:w="0" w:type="dxa"/>
              <w:left w:w="108" w:type="dxa"/>
              <w:bottom w:w="0" w:type="dxa"/>
              <w:right w:w="108" w:type="dxa"/>
            </w:tcMar>
            <w:vAlign w:val="bottom"/>
          </w:tcPr>
          <w:p>
            <w:pPr>
              <w:rPr>
                <w:rFonts w:eastAsia="Calibri"/>
                <w:sz w:val="18"/>
                <w:szCs w:val="18"/>
              </w:rPr>
            </w:pPr>
            <w:r>
              <w:object>
                <v:shape id="_x0000_i1028" o:spt="75" type="#_x0000_t75" style="height:15.15pt;width:62.25pt;" o:ole="t" filled="f" o:preferrelative="t" stroked="f" coordsize="21600,21600">
                  <v:path/>
                  <v:fill on="f" focussize="0,0"/>
                  <v:stroke on="f"/>
                  <v:imagedata r:id="rId10" o:title="media/image3"/>
                  <o:lock v:ext="edit" aspectratio="t"/>
                  <w10:wrap type="none"/>
                  <w10:anchorlock/>
                </v:shape>
                <o:OLEObject Type="Embed" ProgID="MathType 6.0 Equation" ShapeID="_x0000_i1028" DrawAspect="Content" ObjectID="_1468075727" r:id="rId9">
                  <o:LockedField>false</o:LockedField>
                </o:OLEObject>
              </w:object>
            </w:r>
          </w:p>
        </w:tc>
        <w:tc>
          <w:tcPr>
            <w:tcW w:w="2633"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(c,t,0)</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 xml:space="preserve">-3.935 </w:t>
            </w:r>
            <w:r>
              <w:rPr>
                <w:rFonts w:eastAsia="Calibri"/>
                <w:sz w:val="18"/>
                <w:szCs w:val="18"/>
                <w:vertAlign w:val="superscript"/>
              </w:rPr>
              <w:t>**</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 xml:space="preserve">0.026 </w:t>
            </w:r>
          </w:p>
        </w:tc>
        <w:tc>
          <w:tcPr>
            <w:tcW w:w="1432" w:type="dxa"/>
            <w:tcBorders>
              <w:top w:val="nil"/>
              <w:left w:val="nil"/>
              <w:bottom w:val="nil"/>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平稳</w:t>
            </w:r>
          </w:p>
        </w:tc>
      </w:tr>
      <w:tr>
        <w:tblPrEx>
          <w:tblLayout w:type="fixed"/>
          <w:tblCellMar>
            <w:top w:w="0" w:type="dxa"/>
            <w:left w:w="108" w:type="dxa"/>
            <w:bottom w:w="0" w:type="dxa"/>
            <w:right w:w="108" w:type="dxa"/>
          </w:tblCellMar>
        </w:tblPrEx>
        <w:trPr>
          <w:trHeight w:val="300" w:hRule="atLeast"/>
          <w:jc w:val="center"/>
        </w:trPr>
        <w:tc>
          <w:tcPr>
            <w:tcW w:w="1585" w:type="dxa"/>
            <w:tcBorders>
              <w:top w:val="nil"/>
              <w:left w:val="nil"/>
              <w:bottom w:val="single" w:color="000000" w:sz="8" w:space="0"/>
              <w:right w:val="nil"/>
            </w:tcBorders>
            <w:tcMar>
              <w:top w:w="0" w:type="dxa"/>
              <w:left w:w="108" w:type="dxa"/>
              <w:bottom w:w="0" w:type="dxa"/>
              <w:right w:w="108" w:type="dxa"/>
            </w:tcMar>
            <w:vAlign w:val="bottom"/>
          </w:tcPr>
          <w:p>
            <w:pPr>
              <w:rPr>
                <w:rFonts w:eastAsia="Calibri"/>
                <w:sz w:val="18"/>
                <w:szCs w:val="18"/>
              </w:rPr>
            </w:pPr>
            <w:r>
              <w:object>
                <v:shape id="_x0000_i1029" o:spt="75" type="#_x0000_t75" style="height:15.15pt;width:48.2pt;" o:ole="t" filled="f" o:preferrelative="t" stroked="f" coordsize="21600,21600">
                  <v:path/>
                  <v:fill on="f" focussize="0,0"/>
                  <v:stroke on="f"/>
                  <v:imagedata r:id="rId12" o:title="media/image4"/>
                  <o:lock v:ext="edit" aspectratio="t"/>
                  <w10:wrap type="none"/>
                  <w10:anchorlock/>
                </v:shape>
                <o:OLEObject Type="Embed" ProgID="MathType 6.0 Equation" ShapeID="_x0000_i1029" DrawAspect="Content" ObjectID="_1468075728" r:id="rId11">
                  <o:LockedField>false</o:LockedField>
                </o:OLEObject>
              </w:object>
            </w:r>
          </w:p>
        </w:tc>
        <w:tc>
          <w:tcPr>
            <w:tcW w:w="2633" w:type="dxa"/>
            <w:tcBorders>
              <w:top w:val="nil"/>
              <w:left w:val="nil"/>
              <w:bottom w:val="single" w:color="000000" w:sz="8" w:space="0"/>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(c,t,3)</w:t>
            </w:r>
          </w:p>
        </w:tc>
        <w:tc>
          <w:tcPr>
            <w:tcW w:w="1432" w:type="dxa"/>
            <w:tcBorders>
              <w:top w:val="nil"/>
              <w:left w:val="nil"/>
              <w:bottom w:val="single" w:color="000000" w:sz="8" w:space="0"/>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-5.385</w:t>
            </w:r>
            <w:r>
              <w:rPr>
                <w:rFonts w:eastAsia="Calibri"/>
                <w:sz w:val="18"/>
                <w:szCs w:val="18"/>
                <w:vertAlign w:val="superscript"/>
              </w:rPr>
              <w:t>***</w:t>
            </w:r>
          </w:p>
        </w:tc>
        <w:tc>
          <w:tcPr>
            <w:tcW w:w="1432" w:type="dxa"/>
            <w:tcBorders>
              <w:top w:val="nil"/>
              <w:left w:val="nil"/>
              <w:bottom w:val="single" w:color="000000" w:sz="8" w:space="0"/>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 xml:space="preserve">0.001 </w:t>
            </w:r>
          </w:p>
        </w:tc>
        <w:tc>
          <w:tcPr>
            <w:tcW w:w="1432" w:type="dxa"/>
            <w:tcBorders>
              <w:top w:val="nil"/>
              <w:left w:val="nil"/>
              <w:bottom w:val="single" w:color="000000" w:sz="8" w:space="0"/>
              <w:right w:val="nil"/>
            </w:tcBorders>
            <w:tcMar>
              <w:top w:w="0" w:type="dxa"/>
              <w:left w:w="108" w:type="dxa"/>
              <w:bottom w:w="0" w:type="dxa"/>
              <w:right w:w="108" w:type="dxa"/>
            </w:tcMar>
            <w:vAlign w:val="center"/>
          </w:tcPr>
          <w:p>
            <w:pPr>
              <w:widowControl/>
              <w:jc w:val="center"/>
              <w:rPr>
                <w:rFonts w:eastAsia="Calibri"/>
                <w:sz w:val="18"/>
                <w:szCs w:val="18"/>
              </w:rPr>
            </w:pPr>
            <w:r>
              <w:rPr>
                <w:rFonts w:eastAsia="Calibri"/>
                <w:sz w:val="18"/>
                <w:szCs w:val="18"/>
              </w:rPr>
              <w:t>平稳</w:t>
            </w:r>
          </w:p>
        </w:tc>
      </w:tr>
    </w:tbl>
    <w:p>
      <w:pPr>
        <w:rPr>
          <w:rFonts w:eastAsia="Calibri"/>
          <w:szCs w:val="21"/>
        </w:rPr>
      </w:pPr>
      <w:r>
        <w:rPr>
          <w:rFonts w:eastAsia="Calibri"/>
          <w:szCs w:val="21"/>
        </w:rPr>
        <w:t>注：（1）ADF检验的原假设：序列存在单位根，是非平稳序列；备择假设：序列不存在单位根，是平稳序列。ADF检验模型形式中的c代表有常数项，t代表含时间趋势，k代表滞后期数。（2）*代表在10%的水平上显著，**代表在5%的水平上显著，***代表在1%的水平上显著。</w:t>
      </w:r>
    </w:p>
    <w:p>
      <w:pPr>
        <w:ind w:firstLine="435"/>
        <w:rPr>
          <w:rFonts w:eastAsia="Calibri"/>
          <w:szCs w:val="21"/>
        </w:rPr>
      </w:pPr>
      <w:r>
        <w:rPr>
          <w:rFonts w:eastAsia="Calibri"/>
          <w:szCs w:val="21"/>
        </w:rPr>
        <w:t>LnTFP, LnRoad, LnIrrigation和LnPower是非平稳序列，但它们的一阶差分序列都是平稳的，也就是说LnTFP, LnRoad, LnIrrigation和LnPower是一阶单整序列。</w:t>
      </w:r>
    </w:p>
    <w:p>
      <w:pPr>
        <w:rPr>
          <w:rFonts w:eastAsia="Calibri"/>
          <w:szCs w:val="21"/>
        </w:rPr>
      </w:pPr>
      <w:r>
        <w:rPr>
          <w:rFonts w:eastAsia="Calibri"/>
          <w:szCs w:val="21"/>
        </w:rPr>
        <w:t>2. 因果关系检验</w:t>
      </w:r>
    </w:p>
    <w:p>
      <w:pPr>
        <w:ind w:firstLine="435"/>
        <w:rPr>
          <w:rFonts w:eastAsia="Calibri"/>
          <w:szCs w:val="21"/>
        </w:rPr>
      </w:pPr>
      <w:r>
        <w:rPr>
          <w:rFonts w:eastAsia="Calibri"/>
          <w:szCs w:val="21"/>
        </w:rPr>
        <w:t>经济计量模型实质上是用回归分析工具讨论一个经济变量和其他经济变量的依存性问题，但这并不意味着这个经济变量和其他经济变量之间必然存在着因果关系。尽管经济增长理论认为在基础设施投资与经济增长之间存在因果关系，但仍然需要基于经验数据的对二者之间的因果关系的方向进行检验。为了讨论农村基础设施投资和农业全要素生产率之间是否必然存在因果关系，需要检验作为结果的农业全要素生产率是否必然由作为原因的农村基础设施投资所决定。因此，接下来将运用格兰杰(Granger)因果关系检验讨论LnTFP和LnRoad, LnIrrigation, LnPower这三个变量的因果关系形式。</w:t>
      </w:r>
    </w:p>
    <w:p>
      <w:pPr>
        <w:widowControl/>
        <w:ind w:firstLine="420"/>
        <w:rPr>
          <w:rFonts w:eastAsia="Calibri"/>
          <w:szCs w:val="21"/>
        </w:rPr>
      </w:pPr>
      <w:r>
        <w:rPr>
          <w:rFonts w:eastAsia="Calibri"/>
          <w:szCs w:val="21"/>
        </w:rPr>
        <w:t>格兰杰检验中滞后长度的选择是任意的，并且检验的结果对滞后长度的选择比较敏感，也就是选择不同的滞后长度，有时会得出不同的因果关系的形式的结论。因此，通常的做法是，在进行格兰杰因果关系检验时，通常对不同的滞后长度分别进行试验，若得到的检验结论一致，则说明检验结论比较可靠。在本研究中，分别以滞后长度为2期、3期、4期对LnTFP和LnRoad, LnTFP和LnIrrigation, LnTFP和LnPower进行了格兰杰因果关系检验，结果都表明LnTFP与LnRoad, LnIrrigation, LnPower之间是单向因果关系，也就意味着农业全要素生产率是由公路、灌溉、电力投资所决定的。</w:t>
      </w:r>
    </w:p>
    <w:p>
      <w:pPr>
        <w:jc w:val="center"/>
        <w:rPr>
          <w:rFonts w:ascii="Times New Roman" w:hAnsi="Times New Roman" w:cs="Times New Roman"/>
          <w:sz w:val="18"/>
          <w:szCs w:val="18"/>
        </w:rPr>
      </w:pPr>
      <w:r>
        <w:rPr>
          <w:rFonts w:ascii="Times New Roman" w:hAnsi="Times New Roman" w:cs="Times New Roman"/>
          <w:color w:val="FFFFFF"/>
          <w:sz w:val="18"/>
          <w:szCs w:val="18"/>
        </w:rPr>
        <w:t>表格</w:t>
      </w:r>
      <w:r>
        <w:rPr>
          <w:rFonts w:ascii="Times New Roman" w:hAnsi="Times New Roman" w:cs="Times New Roman"/>
          <w:color w:val="FFFFFF"/>
          <w:sz w:val="18"/>
          <w:szCs w:val="18"/>
        </w:rPr>
        <w:fldChar w:fldCharType="begin"/>
      </w:r>
      <w:r>
        <w:rPr>
          <w:rFonts w:ascii="Times New Roman" w:hAnsi="Times New Roman" w:cs="Times New Roman"/>
          <w:color w:val="FFFFFF"/>
          <w:sz w:val="18"/>
          <w:szCs w:val="18"/>
        </w:rPr>
        <w:instrText xml:space="preserve"> SEQ "表格" \* Arabic </w:instrText>
      </w:r>
      <w:r>
        <w:rPr>
          <w:rFonts w:ascii="Times New Roman" w:hAnsi="Times New Roman" w:cs="Times New Roman"/>
          <w:color w:val="FFFFFF"/>
          <w:sz w:val="18"/>
          <w:szCs w:val="18"/>
        </w:rPr>
        <w:fldChar w:fldCharType="separate"/>
      </w:r>
      <w:r>
        <w:rPr>
          <w:rFonts w:ascii="Times New Roman" w:hAnsi="Times New Roman" w:cs="Times New Roman"/>
          <w:color w:val="FFFFFF"/>
          <w:sz w:val="18"/>
          <w:szCs w:val="18"/>
        </w:rPr>
        <w:t>2</w:t>
      </w:r>
      <w:r>
        <w:rPr>
          <w:rFonts w:ascii="Times New Roman" w:hAnsi="Times New Roman" w:cs="Times New Roman"/>
          <w:color w:val="FFFFFF"/>
          <w:sz w:val="18"/>
          <w:szCs w:val="18"/>
        </w:rPr>
        <w:fldChar w:fldCharType="end"/>
      </w:r>
      <w:r>
        <w:rPr>
          <w:rFonts w:ascii="Times New Roman" w:hAnsi="Times New Roman" w:cs="Times New Roman"/>
          <w:b/>
          <w:sz w:val="18"/>
          <w:szCs w:val="18"/>
        </w:rPr>
        <w:t>表3格兰杰因果关系检验</w:t>
      </w:r>
    </w:p>
    <w:tbl>
      <w:tblPr>
        <w:tblStyle w:val="15"/>
        <w:tblW w:w="8315" w:type="dxa"/>
        <w:tblInd w:w="0" w:type="dxa"/>
        <w:tblLayout w:type="fixed"/>
        <w:tblCellMar>
          <w:top w:w="0" w:type="dxa"/>
          <w:left w:w="108" w:type="dxa"/>
          <w:bottom w:w="0" w:type="dxa"/>
          <w:right w:w="108" w:type="dxa"/>
        </w:tblCellMar>
      </w:tblPr>
      <w:tblGrid>
        <w:gridCol w:w="3314"/>
        <w:gridCol w:w="930"/>
        <w:gridCol w:w="798"/>
        <w:gridCol w:w="839"/>
        <w:gridCol w:w="889"/>
        <w:gridCol w:w="872"/>
        <w:gridCol w:w="673"/>
      </w:tblGrid>
      <w:tr>
        <w:tblPrEx>
          <w:tblLayout w:type="fixed"/>
          <w:tblCellMar>
            <w:top w:w="0" w:type="dxa"/>
            <w:left w:w="108" w:type="dxa"/>
            <w:bottom w:w="0" w:type="dxa"/>
            <w:right w:w="108" w:type="dxa"/>
          </w:tblCellMar>
        </w:tblPrEx>
        <w:trPr>
          <w:trHeight w:val="285" w:hRule="atLeast"/>
        </w:trPr>
        <w:tc>
          <w:tcPr>
            <w:tcW w:w="3314" w:type="dxa"/>
            <w:vMerge w:val="restart"/>
            <w:tcBorders>
              <w:top w:val="single" w:color="000000" w:sz="4" w:space="0"/>
              <w:left w:val="nil"/>
              <w:bottom w:val="single" w:color="000000" w:sz="4" w:space="0"/>
              <w:right w:val="nil"/>
            </w:tcBorders>
            <w:tcMar>
              <w:top w:w="0" w:type="dxa"/>
              <w:left w:w="0" w:type="dxa"/>
              <w:bottom w:w="0" w:type="dxa"/>
              <w:right w:w="0" w:type="dxa"/>
            </w:tcMar>
            <w:vAlign w:val="center"/>
          </w:tcPr>
          <w:p>
            <w:pPr>
              <w:jc w:val="center"/>
              <w:rPr>
                <w:rFonts w:eastAsia="Calibri"/>
                <w:sz w:val="18"/>
                <w:szCs w:val="18"/>
              </w:rPr>
            </w:pPr>
            <w:r>
              <w:rPr>
                <w:rFonts w:eastAsia="Calibri"/>
                <w:sz w:val="18"/>
                <w:szCs w:val="18"/>
              </w:rPr>
              <w:t>原假设</w:t>
            </w:r>
          </w:p>
        </w:tc>
        <w:tc>
          <w:tcPr>
            <w:tcW w:w="1728" w:type="dxa"/>
            <w:gridSpan w:val="2"/>
            <w:tcBorders>
              <w:top w:val="single" w:color="000000" w:sz="4" w:space="0"/>
              <w:left w:val="nil"/>
              <w:bottom w:val="nil"/>
              <w:right w:val="nil"/>
            </w:tcBorders>
            <w:tcMar>
              <w:top w:w="0" w:type="dxa"/>
              <w:left w:w="0" w:type="dxa"/>
              <w:bottom w:w="0" w:type="dxa"/>
              <w:right w:w="0" w:type="dxa"/>
            </w:tcMar>
            <w:vAlign w:val="center"/>
          </w:tcPr>
          <w:p>
            <w:pPr>
              <w:jc w:val="center"/>
              <w:rPr>
                <w:rFonts w:eastAsia="Calibri"/>
                <w:sz w:val="18"/>
                <w:szCs w:val="18"/>
              </w:rPr>
            </w:pPr>
            <w:r>
              <w:rPr>
                <w:rFonts w:eastAsia="Calibri"/>
                <w:sz w:val="18"/>
                <w:szCs w:val="18"/>
              </w:rPr>
              <w:t>滞后2期</w:t>
            </w:r>
          </w:p>
        </w:tc>
        <w:tc>
          <w:tcPr>
            <w:tcW w:w="1728" w:type="dxa"/>
            <w:gridSpan w:val="2"/>
            <w:tcBorders>
              <w:top w:val="single" w:color="000000" w:sz="4" w:space="0"/>
              <w:left w:val="nil"/>
              <w:bottom w:val="nil"/>
              <w:right w:val="nil"/>
            </w:tcBorders>
            <w:tcMar>
              <w:top w:w="0" w:type="dxa"/>
              <w:left w:w="0" w:type="dxa"/>
              <w:bottom w:w="0" w:type="dxa"/>
              <w:right w:w="0" w:type="dxa"/>
            </w:tcMar>
            <w:vAlign w:val="center"/>
          </w:tcPr>
          <w:p>
            <w:pPr>
              <w:jc w:val="center"/>
              <w:rPr>
                <w:rFonts w:eastAsia="Calibri"/>
                <w:sz w:val="18"/>
                <w:szCs w:val="18"/>
              </w:rPr>
            </w:pPr>
            <w:r>
              <w:rPr>
                <w:rFonts w:eastAsia="Calibri"/>
                <w:sz w:val="18"/>
                <w:szCs w:val="18"/>
              </w:rPr>
              <w:t>滞后3期</w:t>
            </w:r>
          </w:p>
        </w:tc>
        <w:tc>
          <w:tcPr>
            <w:tcW w:w="1545" w:type="dxa"/>
            <w:gridSpan w:val="2"/>
            <w:tcBorders>
              <w:top w:val="single" w:color="000000" w:sz="4" w:space="0"/>
              <w:left w:val="nil"/>
              <w:bottom w:val="nil"/>
              <w:right w:val="nil"/>
            </w:tcBorders>
            <w:tcMar>
              <w:top w:w="0" w:type="dxa"/>
              <w:left w:w="0" w:type="dxa"/>
              <w:bottom w:w="0" w:type="dxa"/>
              <w:right w:w="0" w:type="dxa"/>
            </w:tcMar>
            <w:vAlign w:val="center"/>
          </w:tcPr>
          <w:p>
            <w:pPr>
              <w:jc w:val="center"/>
              <w:rPr>
                <w:rFonts w:eastAsia="Calibri"/>
                <w:sz w:val="18"/>
                <w:szCs w:val="18"/>
              </w:rPr>
            </w:pPr>
            <w:r>
              <w:rPr>
                <w:rFonts w:eastAsia="Calibri"/>
                <w:sz w:val="18"/>
                <w:szCs w:val="18"/>
              </w:rPr>
              <w:t>滞后4期</w:t>
            </w:r>
          </w:p>
        </w:tc>
      </w:tr>
      <w:tr>
        <w:tblPrEx>
          <w:tblLayout w:type="fixed"/>
          <w:tblCellMar>
            <w:top w:w="0" w:type="dxa"/>
            <w:left w:w="108" w:type="dxa"/>
            <w:bottom w:w="0" w:type="dxa"/>
            <w:right w:w="108" w:type="dxa"/>
          </w:tblCellMar>
        </w:tblPrEx>
        <w:trPr>
          <w:trHeight w:val="285" w:hRule="atLeast"/>
        </w:trPr>
        <w:tc>
          <w:tcPr>
            <w:tcW w:w="3314" w:type="dxa"/>
            <w:vMerge w:val="continue"/>
            <w:tcBorders>
              <w:top w:val="single" w:color="000000" w:sz="4" w:space="0"/>
              <w:left w:val="nil"/>
              <w:bottom w:val="single" w:color="000000" w:sz="4" w:space="0"/>
              <w:right w:val="nil"/>
            </w:tcBorders>
            <w:tcMar>
              <w:top w:w="0" w:type="dxa"/>
              <w:left w:w="0" w:type="dxa"/>
              <w:bottom w:w="0" w:type="dxa"/>
              <w:right w:w="0" w:type="dxa"/>
            </w:tcMar>
            <w:vAlign w:val="center"/>
          </w:tcPr>
          <w:p/>
        </w:tc>
        <w:tc>
          <w:tcPr>
            <w:tcW w:w="930" w:type="dxa"/>
            <w:tcBorders>
              <w:top w:val="nil"/>
              <w:left w:val="nil"/>
              <w:bottom w:val="single" w:color="000000" w:sz="4" w:space="0"/>
              <w:right w:val="nil"/>
            </w:tcBorders>
            <w:tcMar>
              <w:top w:w="0" w:type="dxa"/>
              <w:left w:w="0" w:type="dxa"/>
              <w:bottom w:w="0" w:type="dxa"/>
              <w:right w:w="0" w:type="dxa"/>
            </w:tcMar>
            <w:vAlign w:val="center"/>
          </w:tcPr>
          <w:p>
            <w:pPr>
              <w:jc w:val="center"/>
              <w:rPr>
                <w:rFonts w:eastAsia="Calibri"/>
                <w:sz w:val="18"/>
                <w:szCs w:val="18"/>
              </w:rPr>
            </w:pPr>
            <w:r>
              <w:rPr>
                <w:rFonts w:eastAsia="Calibri"/>
                <w:sz w:val="18"/>
                <w:szCs w:val="18"/>
              </w:rPr>
              <w:t>F值</w:t>
            </w:r>
          </w:p>
        </w:tc>
        <w:tc>
          <w:tcPr>
            <w:tcW w:w="798" w:type="dxa"/>
            <w:tcBorders>
              <w:top w:val="nil"/>
              <w:left w:val="nil"/>
              <w:bottom w:val="single" w:color="000000" w:sz="4" w:space="0"/>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结论</w:t>
            </w:r>
          </w:p>
        </w:tc>
        <w:tc>
          <w:tcPr>
            <w:tcW w:w="839" w:type="dxa"/>
            <w:tcBorders>
              <w:top w:val="nil"/>
              <w:left w:val="nil"/>
              <w:bottom w:val="single" w:color="000000" w:sz="4" w:space="0"/>
              <w:right w:val="nil"/>
            </w:tcBorders>
            <w:tcMar>
              <w:top w:w="0" w:type="dxa"/>
              <w:left w:w="0" w:type="dxa"/>
              <w:bottom w:w="0" w:type="dxa"/>
              <w:right w:w="0" w:type="dxa"/>
            </w:tcMar>
            <w:vAlign w:val="center"/>
          </w:tcPr>
          <w:p>
            <w:pPr>
              <w:jc w:val="center"/>
              <w:rPr>
                <w:rFonts w:eastAsia="Calibri"/>
                <w:sz w:val="18"/>
                <w:szCs w:val="18"/>
              </w:rPr>
            </w:pPr>
            <w:r>
              <w:rPr>
                <w:rFonts w:eastAsia="Calibri"/>
                <w:sz w:val="18"/>
                <w:szCs w:val="18"/>
              </w:rPr>
              <w:t>F值</w:t>
            </w:r>
          </w:p>
        </w:tc>
        <w:tc>
          <w:tcPr>
            <w:tcW w:w="889" w:type="dxa"/>
            <w:tcBorders>
              <w:top w:val="nil"/>
              <w:left w:val="nil"/>
              <w:bottom w:val="single" w:color="000000" w:sz="4" w:space="0"/>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结论</w:t>
            </w:r>
          </w:p>
        </w:tc>
        <w:tc>
          <w:tcPr>
            <w:tcW w:w="872" w:type="dxa"/>
            <w:tcBorders>
              <w:top w:val="nil"/>
              <w:left w:val="nil"/>
              <w:bottom w:val="single" w:color="000000" w:sz="4" w:space="0"/>
              <w:right w:val="nil"/>
            </w:tcBorders>
            <w:tcMar>
              <w:top w:w="0" w:type="dxa"/>
              <w:left w:w="0" w:type="dxa"/>
              <w:bottom w:w="0" w:type="dxa"/>
              <w:right w:w="0" w:type="dxa"/>
            </w:tcMar>
            <w:vAlign w:val="center"/>
          </w:tcPr>
          <w:p>
            <w:pPr>
              <w:jc w:val="center"/>
              <w:rPr>
                <w:rFonts w:eastAsia="Calibri"/>
                <w:sz w:val="18"/>
                <w:szCs w:val="18"/>
              </w:rPr>
            </w:pPr>
            <w:r>
              <w:rPr>
                <w:rFonts w:eastAsia="Calibri"/>
                <w:sz w:val="18"/>
                <w:szCs w:val="18"/>
              </w:rPr>
              <w:t>F值</w:t>
            </w:r>
          </w:p>
        </w:tc>
        <w:tc>
          <w:tcPr>
            <w:tcW w:w="673" w:type="dxa"/>
            <w:tcBorders>
              <w:top w:val="nil"/>
              <w:left w:val="nil"/>
              <w:bottom w:val="single" w:color="000000" w:sz="4" w:space="0"/>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结论</w:t>
            </w:r>
          </w:p>
        </w:tc>
      </w:tr>
      <w:tr>
        <w:tblPrEx>
          <w:tblLayout w:type="fixed"/>
          <w:tblCellMar>
            <w:top w:w="0" w:type="dxa"/>
            <w:left w:w="108" w:type="dxa"/>
            <w:bottom w:w="0" w:type="dxa"/>
            <w:right w:w="108" w:type="dxa"/>
          </w:tblCellMar>
        </w:tblPrEx>
        <w:trPr>
          <w:trHeight w:val="675" w:hRule="atLeast"/>
        </w:trPr>
        <w:tc>
          <w:tcPr>
            <w:tcW w:w="3314"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LnRoad不是LnTFP的格兰杰原因</w:t>
            </w:r>
          </w:p>
        </w:tc>
        <w:tc>
          <w:tcPr>
            <w:tcW w:w="930"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4.578</w:t>
            </w:r>
            <w:r>
              <w:rPr>
                <w:rFonts w:eastAsia="Calibri"/>
                <w:sz w:val="18"/>
                <w:szCs w:val="18"/>
                <w:vertAlign w:val="superscript"/>
              </w:rPr>
              <w:t>**</w:t>
            </w:r>
          </w:p>
        </w:tc>
        <w:tc>
          <w:tcPr>
            <w:tcW w:w="798"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拒绝</w:t>
            </w:r>
          </w:p>
        </w:tc>
        <w:tc>
          <w:tcPr>
            <w:tcW w:w="839"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3.048</w:t>
            </w:r>
            <w:r>
              <w:rPr>
                <w:rFonts w:eastAsia="Calibri"/>
                <w:sz w:val="18"/>
                <w:szCs w:val="18"/>
                <w:vertAlign w:val="superscript"/>
              </w:rPr>
              <w:t>*</w:t>
            </w:r>
          </w:p>
        </w:tc>
        <w:tc>
          <w:tcPr>
            <w:tcW w:w="889"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拒绝</w:t>
            </w:r>
          </w:p>
        </w:tc>
        <w:tc>
          <w:tcPr>
            <w:tcW w:w="872"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3.024</w:t>
            </w:r>
            <w:r>
              <w:rPr>
                <w:rFonts w:eastAsia="Calibri"/>
                <w:sz w:val="18"/>
                <w:szCs w:val="18"/>
                <w:vertAlign w:val="superscript"/>
              </w:rPr>
              <w:t>*</w:t>
            </w:r>
          </w:p>
        </w:tc>
        <w:tc>
          <w:tcPr>
            <w:tcW w:w="673"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拒绝</w:t>
            </w:r>
          </w:p>
        </w:tc>
      </w:tr>
      <w:tr>
        <w:tblPrEx>
          <w:tblLayout w:type="fixed"/>
          <w:tblCellMar>
            <w:top w:w="0" w:type="dxa"/>
            <w:left w:w="108" w:type="dxa"/>
            <w:bottom w:w="0" w:type="dxa"/>
            <w:right w:w="108" w:type="dxa"/>
          </w:tblCellMar>
        </w:tblPrEx>
        <w:trPr>
          <w:trHeight w:val="285" w:hRule="atLeast"/>
        </w:trPr>
        <w:tc>
          <w:tcPr>
            <w:tcW w:w="3314"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LnTFP不是LnRoad的格兰杰原因</w:t>
            </w:r>
          </w:p>
        </w:tc>
        <w:tc>
          <w:tcPr>
            <w:tcW w:w="930"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0.314</w:t>
            </w:r>
          </w:p>
        </w:tc>
        <w:tc>
          <w:tcPr>
            <w:tcW w:w="798"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不拒绝</w:t>
            </w:r>
          </w:p>
        </w:tc>
        <w:tc>
          <w:tcPr>
            <w:tcW w:w="839"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0.745</w:t>
            </w:r>
          </w:p>
        </w:tc>
        <w:tc>
          <w:tcPr>
            <w:tcW w:w="889"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不拒绝</w:t>
            </w:r>
          </w:p>
        </w:tc>
        <w:tc>
          <w:tcPr>
            <w:tcW w:w="872"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2.186</w:t>
            </w:r>
          </w:p>
        </w:tc>
        <w:tc>
          <w:tcPr>
            <w:tcW w:w="673"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不拒绝</w:t>
            </w:r>
          </w:p>
        </w:tc>
      </w:tr>
      <w:tr>
        <w:tblPrEx>
          <w:tblLayout w:type="fixed"/>
          <w:tblCellMar>
            <w:top w:w="0" w:type="dxa"/>
            <w:left w:w="108" w:type="dxa"/>
            <w:bottom w:w="0" w:type="dxa"/>
            <w:right w:w="108" w:type="dxa"/>
          </w:tblCellMar>
        </w:tblPrEx>
        <w:trPr>
          <w:trHeight w:val="330" w:hRule="atLeast"/>
        </w:trPr>
        <w:tc>
          <w:tcPr>
            <w:tcW w:w="3314"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LnIrrigation不是LnTFP的格兰杰原因</w:t>
            </w:r>
          </w:p>
        </w:tc>
        <w:tc>
          <w:tcPr>
            <w:tcW w:w="930"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9.684</w:t>
            </w:r>
            <w:r>
              <w:rPr>
                <w:rFonts w:eastAsia="Calibri"/>
                <w:sz w:val="18"/>
                <w:szCs w:val="18"/>
                <w:vertAlign w:val="superscript"/>
              </w:rPr>
              <w:t>***</w:t>
            </w:r>
          </w:p>
        </w:tc>
        <w:tc>
          <w:tcPr>
            <w:tcW w:w="798"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拒绝</w:t>
            </w:r>
          </w:p>
        </w:tc>
        <w:tc>
          <w:tcPr>
            <w:tcW w:w="839"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9.352</w:t>
            </w:r>
            <w:r>
              <w:rPr>
                <w:rFonts w:eastAsia="Calibri"/>
                <w:sz w:val="18"/>
                <w:szCs w:val="18"/>
                <w:vertAlign w:val="superscript"/>
              </w:rPr>
              <w:t>***</w:t>
            </w:r>
          </w:p>
        </w:tc>
        <w:tc>
          <w:tcPr>
            <w:tcW w:w="889"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拒绝</w:t>
            </w:r>
          </w:p>
        </w:tc>
        <w:tc>
          <w:tcPr>
            <w:tcW w:w="872"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4.521</w:t>
            </w:r>
            <w:r>
              <w:rPr>
                <w:rFonts w:eastAsia="Calibri"/>
                <w:sz w:val="18"/>
                <w:szCs w:val="18"/>
                <w:vertAlign w:val="superscript"/>
              </w:rPr>
              <w:t>**</w:t>
            </w:r>
          </w:p>
        </w:tc>
        <w:tc>
          <w:tcPr>
            <w:tcW w:w="673"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拒绝</w:t>
            </w:r>
          </w:p>
        </w:tc>
      </w:tr>
      <w:tr>
        <w:tblPrEx>
          <w:tblLayout w:type="fixed"/>
          <w:tblCellMar>
            <w:top w:w="0" w:type="dxa"/>
            <w:left w:w="108" w:type="dxa"/>
            <w:bottom w:w="0" w:type="dxa"/>
            <w:right w:w="108" w:type="dxa"/>
          </w:tblCellMar>
        </w:tblPrEx>
        <w:trPr>
          <w:trHeight w:val="285" w:hRule="atLeast"/>
        </w:trPr>
        <w:tc>
          <w:tcPr>
            <w:tcW w:w="3314"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LnTFP不是LnIrrigation的格兰杰原因</w:t>
            </w:r>
          </w:p>
        </w:tc>
        <w:tc>
          <w:tcPr>
            <w:tcW w:w="930"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1.742</w:t>
            </w:r>
          </w:p>
        </w:tc>
        <w:tc>
          <w:tcPr>
            <w:tcW w:w="798"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不拒绝</w:t>
            </w:r>
          </w:p>
        </w:tc>
        <w:tc>
          <w:tcPr>
            <w:tcW w:w="839"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1.752</w:t>
            </w:r>
          </w:p>
        </w:tc>
        <w:tc>
          <w:tcPr>
            <w:tcW w:w="889"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不拒绝</w:t>
            </w:r>
          </w:p>
        </w:tc>
        <w:tc>
          <w:tcPr>
            <w:tcW w:w="872" w:type="dxa"/>
            <w:tcBorders>
              <w:top w:val="nil"/>
              <w:left w:val="nil"/>
              <w:bottom w:val="nil"/>
              <w:right w:val="nil"/>
            </w:tcBorders>
            <w:tcMar>
              <w:top w:w="0" w:type="dxa"/>
              <w:left w:w="0" w:type="dxa"/>
              <w:bottom w:w="0" w:type="dxa"/>
              <w:right w:w="0" w:type="dxa"/>
            </w:tcMar>
            <w:vAlign w:val="center"/>
          </w:tcPr>
          <w:p>
            <w:pPr>
              <w:ind w:left="68" w:hanging="68"/>
              <w:rPr>
                <w:rFonts w:eastAsia="Calibri"/>
                <w:sz w:val="18"/>
                <w:szCs w:val="18"/>
              </w:rPr>
            </w:pPr>
            <w:r>
              <w:rPr>
                <w:rFonts w:eastAsia="Calibri"/>
                <w:sz w:val="18"/>
                <w:szCs w:val="18"/>
              </w:rPr>
              <w:t>0.86</w:t>
            </w:r>
          </w:p>
        </w:tc>
        <w:tc>
          <w:tcPr>
            <w:tcW w:w="673"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不拒绝</w:t>
            </w:r>
          </w:p>
        </w:tc>
      </w:tr>
      <w:tr>
        <w:tblPrEx>
          <w:tblLayout w:type="fixed"/>
          <w:tblCellMar>
            <w:top w:w="0" w:type="dxa"/>
            <w:left w:w="108" w:type="dxa"/>
            <w:bottom w:w="0" w:type="dxa"/>
            <w:right w:w="108" w:type="dxa"/>
          </w:tblCellMar>
        </w:tblPrEx>
        <w:trPr>
          <w:trHeight w:val="330" w:hRule="atLeast"/>
        </w:trPr>
        <w:tc>
          <w:tcPr>
            <w:tcW w:w="3314"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LnPower不是LnTFP的格兰杰原因</w:t>
            </w:r>
          </w:p>
        </w:tc>
        <w:tc>
          <w:tcPr>
            <w:tcW w:w="930"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5.985</w:t>
            </w:r>
            <w:r>
              <w:rPr>
                <w:rFonts w:eastAsia="Calibri"/>
                <w:sz w:val="18"/>
                <w:szCs w:val="18"/>
                <w:vertAlign w:val="superscript"/>
              </w:rPr>
              <w:t>**</w:t>
            </w:r>
          </w:p>
        </w:tc>
        <w:tc>
          <w:tcPr>
            <w:tcW w:w="798"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拒绝</w:t>
            </w:r>
          </w:p>
        </w:tc>
        <w:tc>
          <w:tcPr>
            <w:tcW w:w="839"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9.258</w:t>
            </w:r>
            <w:r>
              <w:rPr>
                <w:rFonts w:eastAsia="Calibri"/>
                <w:sz w:val="18"/>
                <w:szCs w:val="18"/>
                <w:vertAlign w:val="superscript"/>
              </w:rPr>
              <w:t>***</w:t>
            </w:r>
          </w:p>
        </w:tc>
        <w:tc>
          <w:tcPr>
            <w:tcW w:w="889"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拒绝</w:t>
            </w:r>
          </w:p>
        </w:tc>
        <w:tc>
          <w:tcPr>
            <w:tcW w:w="872"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8.592</w:t>
            </w:r>
            <w:r>
              <w:rPr>
                <w:rFonts w:eastAsia="Calibri"/>
                <w:sz w:val="18"/>
                <w:szCs w:val="18"/>
                <w:vertAlign w:val="superscript"/>
              </w:rPr>
              <w:t>***</w:t>
            </w:r>
          </w:p>
        </w:tc>
        <w:tc>
          <w:tcPr>
            <w:tcW w:w="673" w:type="dxa"/>
            <w:tcBorders>
              <w:top w:val="nil"/>
              <w:left w:val="nil"/>
              <w:bottom w:val="nil"/>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拒绝</w:t>
            </w:r>
          </w:p>
        </w:tc>
      </w:tr>
      <w:tr>
        <w:tblPrEx>
          <w:tblLayout w:type="fixed"/>
          <w:tblCellMar>
            <w:top w:w="0" w:type="dxa"/>
            <w:left w:w="108" w:type="dxa"/>
            <w:bottom w:w="0" w:type="dxa"/>
            <w:right w:w="108" w:type="dxa"/>
          </w:tblCellMar>
        </w:tblPrEx>
        <w:trPr>
          <w:trHeight w:val="285" w:hRule="atLeast"/>
        </w:trPr>
        <w:tc>
          <w:tcPr>
            <w:tcW w:w="3314" w:type="dxa"/>
            <w:tcBorders>
              <w:top w:val="nil"/>
              <w:left w:val="nil"/>
              <w:bottom w:val="single" w:color="000000" w:sz="4" w:space="0"/>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LnTFP不是LnPower的格兰杰原因</w:t>
            </w:r>
          </w:p>
        </w:tc>
        <w:tc>
          <w:tcPr>
            <w:tcW w:w="930" w:type="dxa"/>
            <w:tcBorders>
              <w:top w:val="nil"/>
              <w:left w:val="nil"/>
              <w:bottom w:val="single" w:color="000000" w:sz="4" w:space="0"/>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0.333</w:t>
            </w:r>
          </w:p>
        </w:tc>
        <w:tc>
          <w:tcPr>
            <w:tcW w:w="798" w:type="dxa"/>
            <w:tcBorders>
              <w:top w:val="nil"/>
              <w:left w:val="nil"/>
              <w:bottom w:val="single" w:color="000000" w:sz="4" w:space="0"/>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不拒绝</w:t>
            </w:r>
          </w:p>
        </w:tc>
        <w:tc>
          <w:tcPr>
            <w:tcW w:w="839" w:type="dxa"/>
            <w:tcBorders>
              <w:top w:val="nil"/>
              <w:left w:val="nil"/>
              <w:bottom w:val="single" w:color="000000" w:sz="4" w:space="0"/>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0.931</w:t>
            </w:r>
          </w:p>
        </w:tc>
        <w:tc>
          <w:tcPr>
            <w:tcW w:w="889" w:type="dxa"/>
            <w:tcBorders>
              <w:top w:val="nil"/>
              <w:left w:val="nil"/>
              <w:bottom w:val="single" w:color="000000" w:sz="4" w:space="0"/>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不拒绝</w:t>
            </w:r>
          </w:p>
        </w:tc>
        <w:tc>
          <w:tcPr>
            <w:tcW w:w="872" w:type="dxa"/>
            <w:tcBorders>
              <w:top w:val="nil"/>
              <w:left w:val="nil"/>
              <w:bottom w:val="single" w:color="000000" w:sz="4" w:space="0"/>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1.723</w:t>
            </w:r>
          </w:p>
        </w:tc>
        <w:tc>
          <w:tcPr>
            <w:tcW w:w="673" w:type="dxa"/>
            <w:tcBorders>
              <w:top w:val="nil"/>
              <w:left w:val="nil"/>
              <w:bottom w:val="single" w:color="000000" w:sz="4" w:space="0"/>
              <w:right w:val="nil"/>
            </w:tcBorders>
            <w:tcMar>
              <w:top w:w="0" w:type="dxa"/>
              <w:left w:w="0" w:type="dxa"/>
              <w:bottom w:w="0" w:type="dxa"/>
              <w:right w:w="0" w:type="dxa"/>
            </w:tcMar>
            <w:vAlign w:val="center"/>
          </w:tcPr>
          <w:p>
            <w:pPr>
              <w:rPr>
                <w:rFonts w:eastAsia="Calibri"/>
                <w:sz w:val="18"/>
                <w:szCs w:val="18"/>
              </w:rPr>
            </w:pPr>
            <w:r>
              <w:rPr>
                <w:rFonts w:eastAsia="Calibri"/>
                <w:sz w:val="18"/>
                <w:szCs w:val="18"/>
              </w:rPr>
              <w:t>不拒绝</w:t>
            </w:r>
          </w:p>
        </w:tc>
      </w:tr>
    </w:tbl>
    <w:p>
      <w:pPr>
        <w:rPr>
          <w:rFonts w:eastAsia="Calibri"/>
          <w:sz w:val="18"/>
          <w:szCs w:val="18"/>
        </w:rPr>
      </w:pPr>
      <w:r>
        <w:rPr>
          <w:rFonts w:eastAsia="Calibri"/>
          <w:sz w:val="18"/>
          <w:szCs w:val="18"/>
        </w:rPr>
        <w:t>注：*代表在10%的水平上显著，**代表在5%的水平上显著，***代表在1%的水平上显著。</w:t>
      </w:r>
    </w:p>
    <w:p>
      <w:pPr>
        <w:rPr>
          <w:rFonts w:eastAsia="Calibri"/>
          <w:szCs w:val="21"/>
        </w:rPr>
      </w:pPr>
    </w:p>
    <w:p>
      <w:pPr>
        <w:rPr>
          <w:rFonts w:eastAsia="Calibri"/>
          <w:szCs w:val="21"/>
        </w:rPr>
      </w:pPr>
      <w:r>
        <w:rPr>
          <w:rFonts w:eastAsia="Calibri"/>
          <w:szCs w:val="21"/>
        </w:rPr>
        <w:t>3. 协整检验</w:t>
      </w:r>
    </w:p>
    <w:p>
      <w:pPr>
        <w:ind w:firstLine="435"/>
        <w:rPr>
          <w:rFonts w:eastAsia="Calibri"/>
          <w:szCs w:val="21"/>
        </w:rPr>
      </w:pPr>
      <w:r>
        <w:rPr>
          <w:rFonts w:eastAsia="Calibri"/>
          <w:szCs w:val="21"/>
        </w:rPr>
        <w:t>本研究中的LnTFP, LnRoad, LnIrrigation, LnPower都是非平稳的序列，如果利用经典回归模型对非平稳序列进行分析，有可能造成伪回归的问题。但是如果在一个回归模型中涉及的时间序列是同步协整的，那么在协整序列之间建立回归模型则可以避免伪回归问题。LnTFP, LnRoad, LnIrrigation, LnPower都是一阶单整序列，其单整阶数相同，因此它们可能存在某种平稳的线性组合。这个线性组合反映了变量之间长期稳定的比例关系，即协整(Cointegration)关系。Johansen协整检验表明在5%的显著性水平下，LnTFP, LnRoad, LnIrrigation, LnPower四个变量间有且仅有一个协整关系，在它们之间建立回归模型可以避免伪回归的问题。</w:t>
      </w:r>
    </w:p>
    <w:p>
      <w:pPr>
        <w:jc w:val="center"/>
        <w:rPr>
          <w:rFonts w:ascii="Times New Roman" w:hAnsi="Times New Roman" w:cs="Times New Roman"/>
          <w:sz w:val="18"/>
          <w:szCs w:val="18"/>
        </w:rPr>
      </w:pPr>
      <w:bookmarkStart w:id="5" w:name="_Toc359506645"/>
      <w:bookmarkEnd w:id="5"/>
      <w:r>
        <w:rPr>
          <w:rFonts w:ascii="Times New Roman" w:hAnsi="Times New Roman" w:cs="Times New Roman"/>
          <w:color w:val="FFFFFF"/>
          <w:sz w:val="18"/>
          <w:szCs w:val="18"/>
        </w:rPr>
        <w:t>表格</w:t>
      </w:r>
      <w:r>
        <w:rPr>
          <w:rFonts w:ascii="Times New Roman" w:hAnsi="Times New Roman" w:cs="Times New Roman"/>
          <w:color w:val="FFFFFF"/>
          <w:sz w:val="18"/>
          <w:szCs w:val="18"/>
        </w:rPr>
        <w:fldChar w:fldCharType="begin"/>
      </w:r>
      <w:r>
        <w:rPr>
          <w:rFonts w:ascii="Times New Roman" w:hAnsi="Times New Roman" w:cs="Times New Roman"/>
          <w:color w:val="FFFFFF"/>
          <w:sz w:val="18"/>
          <w:szCs w:val="18"/>
        </w:rPr>
        <w:instrText xml:space="preserve"> SEQ "表格" \* Arabic </w:instrText>
      </w:r>
      <w:r>
        <w:rPr>
          <w:rFonts w:ascii="Times New Roman" w:hAnsi="Times New Roman" w:cs="Times New Roman"/>
          <w:color w:val="FFFFFF"/>
          <w:sz w:val="18"/>
          <w:szCs w:val="18"/>
        </w:rPr>
        <w:fldChar w:fldCharType="separate"/>
      </w:r>
      <w:r>
        <w:rPr>
          <w:rFonts w:ascii="Times New Roman" w:hAnsi="Times New Roman" w:cs="Times New Roman"/>
          <w:color w:val="FFFFFF"/>
          <w:sz w:val="18"/>
          <w:szCs w:val="18"/>
        </w:rPr>
        <w:t>3</w:t>
      </w:r>
      <w:r>
        <w:rPr>
          <w:rFonts w:ascii="Times New Roman" w:hAnsi="Times New Roman" w:cs="Times New Roman"/>
          <w:color w:val="FFFFFF"/>
          <w:sz w:val="18"/>
          <w:szCs w:val="18"/>
        </w:rPr>
        <w:fldChar w:fldCharType="end"/>
      </w:r>
      <w:r>
        <w:rPr>
          <w:rFonts w:ascii="Times New Roman" w:hAnsi="Times New Roman" w:cs="Times New Roman"/>
          <w:sz w:val="18"/>
          <w:szCs w:val="18"/>
        </w:rPr>
        <w:t>表4LnTFP, LnRoad, LnIrrigation和LnPower之间的Johansen协整检验</w:t>
      </w:r>
    </w:p>
    <w:tbl>
      <w:tblPr>
        <w:tblStyle w:val="15"/>
        <w:tblW w:w="8375" w:type="dxa"/>
        <w:jc w:val="center"/>
        <w:tblInd w:w="0" w:type="dxa"/>
        <w:tblLayout w:type="fixed"/>
        <w:tblCellMar>
          <w:top w:w="0" w:type="dxa"/>
          <w:left w:w="108" w:type="dxa"/>
          <w:bottom w:w="0" w:type="dxa"/>
          <w:right w:w="108" w:type="dxa"/>
        </w:tblCellMar>
      </w:tblPr>
      <w:tblGrid>
        <w:gridCol w:w="3305"/>
        <w:gridCol w:w="1690"/>
        <w:gridCol w:w="1690"/>
        <w:gridCol w:w="1690"/>
      </w:tblGrid>
      <w:tr>
        <w:tblPrEx>
          <w:tblLayout w:type="fixed"/>
          <w:tblCellMar>
            <w:top w:w="0" w:type="dxa"/>
            <w:left w:w="108" w:type="dxa"/>
            <w:bottom w:w="0" w:type="dxa"/>
            <w:right w:w="108" w:type="dxa"/>
          </w:tblCellMar>
        </w:tblPrEx>
        <w:trPr>
          <w:trHeight w:val="272" w:hRule="atLeast"/>
          <w:jc w:val="center"/>
        </w:trPr>
        <w:tc>
          <w:tcPr>
            <w:tcW w:w="3305" w:type="dxa"/>
            <w:tcBorders>
              <w:top w:val="single" w:color="000000" w:sz="8" w:space="0"/>
              <w:left w:val="nil"/>
              <w:bottom w:val="single" w:color="000000" w:sz="8" w:space="0"/>
              <w:right w:val="nil"/>
            </w:tcBorders>
            <w:tcMar>
              <w:top w:w="0" w:type="dxa"/>
              <w:left w:w="30" w:type="dxa"/>
              <w:bottom w:w="0" w:type="dxa"/>
              <w:right w:w="30" w:type="dxa"/>
            </w:tcMar>
            <w:vAlign w:val="bottom"/>
          </w:tcPr>
          <w:p>
            <w:pPr>
              <w:jc w:val="center"/>
              <w:rPr>
                <w:rFonts w:eastAsia="Calibri"/>
                <w:sz w:val="18"/>
                <w:szCs w:val="18"/>
              </w:rPr>
            </w:pPr>
            <w:r>
              <w:rPr>
                <w:rFonts w:eastAsia="Calibri"/>
                <w:sz w:val="18"/>
                <w:szCs w:val="18"/>
              </w:rPr>
              <w:t>原假设</w:t>
            </w:r>
          </w:p>
        </w:tc>
        <w:tc>
          <w:tcPr>
            <w:tcW w:w="1690" w:type="dxa"/>
            <w:tcBorders>
              <w:top w:val="single" w:color="000000" w:sz="8" w:space="0"/>
              <w:left w:val="nil"/>
              <w:bottom w:val="single" w:color="000000" w:sz="8" w:space="0"/>
              <w:right w:val="nil"/>
            </w:tcBorders>
            <w:tcMar>
              <w:top w:w="0" w:type="dxa"/>
              <w:left w:w="30" w:type="dxa"/>
              <w:bottom w:w="0" w:type="dxa"/>
              <w:right w:w="30" w:type="dxa"/>
            </w:tcMar>
            <w:vAlign w:val="bottom"/>
          </w:tcPr>
          <w:p>
            <w:pPr>
              <w:jc w:val="center"/>
              <w:rPr>
                <w:rFonts w:eastAsia="Calibri"/>
                <w:sz w:val="18"/>
                <w:szCs w:val="18"/>
              </w:rPr>
            </w:pPr>
            <w:r>
              <w:rPr>
                <w:rFonts w:eastAsia="Calibri"/>
                <w:sz w:val="18"/>
                <w:szCs w:val="18"/>
              </w:rPr>
              <w:t>Eigenvalue</w:t>
            </w:r>
          </w:p>
        </w:tc>
        <w:tc>
          <w:tcPr>
            <w:tcW w:w="1690" w:type="dxa"/>
            <w:tcBorders>
              <w:top w:val="single" w:color="000000" w:sz="8" w:space="0"/>
              <w:left w:val="nil"/>
              <w:bottom w:val="single" w:color="000000" w:sz="8" w:space="0"/>
              <w:right w:val="nil"/>
            </w:tcBorders>
            <w:tcMar>
              <w:top w:w="0" w:type="dxa"/>
              <w:left w:w="30" w:type="dxa"/>
              <w:bottom w:w="0" w:type="dxa"/>
              <w:right w:w="30" w:type="dxa"/>
            </w:tcMar>
            <w:vAlign w:val="bottom"/>
          </w:tcPr>
          <w:p>
            <w:pPr>
              <w:jc w:val="center"/>
              <w:rPr>
                <w:rFonts w:eastAsia="Calibri"/>
                <w:sz w:val="18"/>
                <w:szCs w:val="18"/>
              </w:rPr>
            </w:pPr>
            <w:r>
              <w:rPr>
                <w:rFonts w:eastAsia="Calibri"/>
                <w:sz w:val="18"/>
                <w:szCs w:val="18"/>
              </w:rPr>
              <w:t>Trace Statistic</w:t>
            </w:r>
          </w:p>
        </w:tc>
        <w:tc>
          <w:tcPr>
            <w:tcW w:w="1690" w:type="dxa"/>
            <w:tcBorders>
              <w:top w:val="single" w:color="000000" w:sz="8" w:space="0"/>
              <w:left w:val="nil"/>
              <w:bottom w:val="single" w:color="000000" w:sz="8" w:space="0"/>
              <w:right w:val="nil"/>
            </w:tcBorders>
            <w:tcMar>
              <w:top w:w="0" w:type="dxa"/>
              <w:left w:w="30" w:type="dxa"/>
              <w:bottom w:w="0" w:type="dxa"/>
              <w:right w:w="30" w:type="dxa"/>
            </w:tcMar>
            <w:vAlign w:val="bottom"/>
          </w:tcPr>
          <w:p>
            <w:pPr>
              <w:jc w:val="center"/>
              <w:rPr>
                <w:rFonts w:eastAsia="Calibri"/>
                <w:sz w:val="18"/>
                <w:szCs w:val="18"/>
              </w:rPr>
            </w:pPr>
            <w:r>
              <w:rPr>
                <w:rFonts w:eastAsia="Calibri"/>
                <w:sz w:val="18"/>
                <w:szCs w:val="18"/>
              </w:rPr>
              <w:t>Prob</w:t>
            </w:r>
          </w:p>
        </w:tc>
      </w:tr>
      <w:tr>
        <w:tblPrEx>
          <w:tblLayout w:type="fixed"/>
          <w:tblCellMar>
            <w:top w:w="0" w:type="dxa"/>
            <w:left w:w="108" w:type="dxa"/>
            <w:bottom w:w="0" w:type="dxa"/>
            <w:right w:w="108" w:type="dxa"/>
          </w:tblCellMar>
        </w:tblPrEx>
        <w:trPr>
          <w:trHeight w:val="272" w:hRule="atLeast"/>
          <w:jc w:val="center"/>
        </w:trPr>
        <w:tc>
          <w:tcPr>
            <w:tcW w:w="3305" w:type="dxa"/>
            <w:tcBorders>
              <w:top w:val="single" w:color="000000" w:sz="8" w:space="0"/>
              <w:left w:val="nil"/>
              <w:bottom w:val="nil"/>
              <w:right w:val="nil"/>
            </w:tcBorders>
            <w:tcMar>
              <w:top w:w="0" w:type="dxa"/>
              <w:left w:w="30" w:type="dxa"/>
              <w:bottom w:w="0" w:type="dxa"/>
              <w:right w:w="30" w:type="dxa"/>
            </w:tcMar>
            <w:vAlign w:val="bottom"/>
          </w:tcPr>
          <w:p>
            <w:pPr>
              <w:jc w:val="center"/>
              <w:rPr>
                <w:rFonts w:eastAsia="Calibri"/>
                <w:sz w:val="18"/>
                <w:szCs w:val="18"/>
              </w:rPr>
            </w:pPr>
            <w:r>
              <w:rPr>
                <w:rFonts w:eastAsia="Calibri"/>
                <w:sz w:val="18"/>
                <w:szCs w:val="18"/>
              </w:rPr>
              <w:t>不存在协整关系</w:t>
            </w:r>
          </w:p>
        </w:tc>
        <w:tc>
          <w:tcPr>
            <w:tcW w:w="1690" w:type="dxa"/>
            <w:tcBorders>
              <w:top w:val="single" w:color="000000" w:sz="8" w:space="0"/>
              <w:left w:val="nil"/>
              <w:bottom w:val="nil"/>
              <w:right w:val="nil"/>
            </w:tcBorders>
            <w:tcMar>
              <w:top w:w="0" w:type="dxa"/>
              <w:left w:w="30" w:type="dxa"/>
              <w:bottom w:w="0" w:type="dxa"/>
              <w:right w:w="30" w:type="dxa"/>
            </w:tcMar>
            <w:vAlign w:val="center"/>
          </w:tcPr>
          <w:p>
            <w:pPr>
              <w:jc w:val="center"/>
              <w:rPr>
                <w:rFonts w:eastAsia="Calibri"/>
                <w:sz w:val="18"/>
                <w:szCs w:val="18"/>
              </w:rPr>
            </w:pPr>
            <w:r>
              <w:rPr>
                <w:rFonts w:eastAsia="Calibri"/>
                <w:sz w:val="18"/>
                <w:szCs w:val="18"/>
              </w:rPr>
              <w:t>0.645</w:t>
            </w:r>
          </w:p>
        </w:tc>
        <w:tc>
          <w:tcPr>
            <w:tcW w:w="1690" w:type="dxa"/>
            <w:tcBorders>
              <w:top w:val="single" w:color="000000" w:sz="8" w:space="0"/>
              <w:left w:val="nil"/>
              <w:bottom w:val="nil"/>
              <w:right w:val="nil"/>
            </w:tcBorders>
            <w:tcMar>
              <w:top w:w="0" w:type="dxa"/>
              <w:left w:w="30" w:type="dxa"/>
              <w:bottom w:w="0" w:type="dxa"/>
              <w:right w:w="30" w:type="dxa"/>
            </w:tcMar>
            <w:vAlign w:val="center"/>
          </w:tcPr>
          <w:p>
            <w:pPr>
              <w:jc w:val="center"/>
              <w:rPr>
                <w:rFonts w:eastAsia="Calibri"/>
                <w:sz w:val="18"/>
                <w:szCs w:val="18"/>
              </w:rPr>
            </w:pPr>
            <w:r>
              <w:rPr>
                <w:rFonts w:eastAsia="Calibri"/>
                <w:sz w:val="18"/>
                <w:szCs w:val="18"/>
              </w:rPr>
              <w:t>49.466</w:t>
            </w:r>
          </w:p>
        </w:tc>
        <w:tc>
          <w:tcPr>
            <w:tcW w:w="1690" w:type="dxa"/>
            <w:tcBorders>
              <w:top w:val="single" w:color="000000" w:sz="8" w:space="0"/>
              <w:left w:val="nil"/>
              <w:bottom w:val="nil"/>
              <w:right w:val="nil"/>
            </w:tcBorders>
            <w:tcMar>
              <w:top w:w="0" w:type="dxa"/>
              <w:left w:w="30" w:type="dxa"/>
              <w:bottom w:w="0" w:type="dxa"/>
              <w:right w:w="30" w:type="dxa"/>
            </w:tcMar>
            <w:vAlign w:val="center"/>
          </w:tcPr>
          <w:p>
            <w:pPr>
              <w:jc w:val="center"/>
              <w:rPr>
                <w:rFonts w:eastAsia="Calibri"/>
                <w:sz w:val="18"/>
                <w:szCs w:val="18"/>
              </w:rPr>
            </w:pPr>
            <w:r>
              <w:rPr>
                <w:rFonts w:eastAsia="Calibri"/>
                <w:sz w:val="18"/>
                <w:szCs w:val="18"/>
              </w:rPr>
              <w:t>0.005</w:t>
            </w:r>
          </w:p>
        </w:tc>
      </w:tr>
      <w:tr>
        <w:tblPrEx>
          <w:tblLayout w:type="fixed"/>
          <w:tblCellMar>
            <w:top w:w="0" w:type="dxa"/>
            <w:left w:w="108" w:type="dxa"/>
            <w:bottom w:w="0" w:type="dxa"/>
            <w:right w:w="108" w:type="dxa"/>
          </w:tblCellMar>
        </w:tblPrEx>
        <w:trPr>
          <w:trHeight w:val="272" w:hRule="atLeast"/>
          <w:jc w:val="center"/>
        </w:trPr>
        <w:tc>
          <w:tcPr>
            <w:tcW w:w="3305" w:type="dxa"/>
            <w:tcBorders>
              <w:top w:val="nil"/>
              <w:left w:val="nil"/>
              <w:bottom w:val="nil"/>
              <w:right w:val="nil"/>
            </w:tcBorders>
            <w:tcMar>
              <w:top w:w="0" w:type="dxa"/>
              <w:left w:w="30" w:type="dxa"/>
              <w:bottom w:w="0" w:type="dxa"/>
              <w:right w:w="30" w:type="dxa"/>
            </w:tcMar>
            <w:vAlign w:val="bottom"/>
          </w:tcPr>
          <w:p>
            <w:pPr>
              <w:jc w:val="center"/>
              <w:rPr>
                <w:rFonts w:eastAsia="Calibri"/>
                <w:sz w:val="18"/>
                <w:szCs w:val="18"/>
              </w:rPr>
            </w:pPr>
            <w:r>
              <w:rPr>
                <w:rFonts w:eastAsia="Calibri"/>
                <w:sz w:val="18"/>
                <w:szCs w:val="18"/>
              </w:rPr>
              <w:t>至多存在1个协整关系</w:t>
            </w:r>
          </w:p>
        </w:tc>
        <w:tc>
          <w:tcPr>
            <w:tcW w:w="1690" w:type="dxa"/>
            <w:tcBorders>
              <w:top w:val="nil"/>
              <w:left w:val="nil"/>
              <w:bottom w:val="nil"/>
              <w:right w:val="nil"/>
            </w:tcBorders>
            <w:tcMar>
              <w:top w:w="0" w:type="dxa"/>
              <w:left w:w="30" w:type="dxa"/>
              <w:bottom w:w="0" w:type="dxa"/>
              <w:right w:w="30" w:type="dxa"/>
            </w:tcMar>
            <w:vAlign w:val="center"/>
          </w:tcPr>
          <w:p>
            <w:pPr>
              <w:jc w:val="center"/>
              <w:rPr>
                <w:rFonts w:eastAsia="Calibri"/>
                <w:sz w:val="18"/>
                <w:szCs w:val="18"/>
              </w:rPr>
            </w:pPr>
            <w:r>
              <w:rPr>
                <w:rFonts w:eastAsia="Calibri"/>
                <w:sz w:val="18"/>
                <w:szCs w:val="18"/>
              </w:rPr>
              <w:t>0.398</w:t>
            </w:r>
          </w:p>
        </w:tc>
        <w:tc>
          <w:tcPr>
            <w:tcW w:w="1690" w:type="dxa"/>
            <w:tcBorders>
              <w:top w:val="nil"/>
              <w:left w:val="nil"/>
              <w:bottom w:val="nil"/>
              <w:right w:val="nil"/>
            </w:tcBorders>
            <w:tcMar>
              <w:top w:w="0" w:type="dxa"/>
              <w:left w:w="30" w:type="dxa"/>
              <w:bottom w:w="0" w:type="dxa"/>
              <w:right w:w="30" w:type="dxa"/>
            </w:tcMar>
            <w:vAlign w:val="center"/>
          </w:tcPr>
          <w:p>
            <w:pPr>
              <w:jc w:val="center"/>
              <w:rPr>
                <w:rFonts w:eastAsia="Calibri"/>
                <w:sz w:val="18"/>
                <w:szCs w:val="18"/>
              </w:rPr>
            </w:pPr>
            <w:r>
              <w:rPr>
                <w:rFonts w:eastAsia="Calibri"/>
                <w:sz w:val="18"/>
                <w:szCs w:val="18"/>
              </w:rPr>
              <w:t>23.550</w:t>
            </w:r>
          </w:p>
        </w:tc>
        <w:tc>
          <w:tcPr>
            <w:tcW w:w="1690" w:type="dxa"/>
            <w:tcBorders>
              <w:top w:val="nil"/>
              <w:left w:val="nil"/>
              <w:bottom w:val="nil"/>
              <w:right w:val="nil"/>
            </w:tcBorders>
            <w:tcMar>
              <w:top w:w="0" w:type="dxa"/>
              <w:left w:w="30" w:type="dxa"/>
              <w:bottom w:w="0" w:type="dxa"/>
              <w:right w:w="30" w:type="dxa"/>
            </w:tcMar>
            <w:vAlign w:val="center"/>
          </w:tcPr>
          <w:p>
            <w:pPr>
              <w:jc w:val="center"/>
              <w:rPr>
                <w:rFonts w:eastAsia="Calibri"/>
                <w:sz w:val="18"/>
                <w:szCs w:val="18"/>
              </w:rPr>
            </w:pPr>
            <w:r>
              <w:rPr>
                <w:rFonts w:eastAsia="Calibri"/>
                <w:sz w:val="18"/>
                <w:szCs w:val="18"/>
              </w:rPr>
              <w:t>0.062</w:t>
            </w:r>
          </w:p>
        </w:tc>
      </w:tr>
      <w:tr>
        <w:tblPrEx>
          <w:tblLayout w:type="fixed"/>
          <w:tblCellMar>
            <w:top w:w="0" w:type="dxa"/>
            <w:left w:w="108" w:type="dxa"/>
            <w:bottom w:w="0" w:type="dxa"/>
            <w:right w:w="108" w:type="dxa"/>
          </w:tblCellMar>
        </w:tblPrEx>
        <w:trPr>
          <w:trHeight w:val="272" w:hRule="atLeast"/>
          <w:jc w:val="center"/>
        </w:trPr>
        <w:tc>
          <w:tcPr>
            <w:tcW w:w="3305" w:type="dxa"/>
            <w:tcBorders>
              <w:top w:val="nil"/>
              <w:left w:val="nil"/>
              <w:bottom w:val="nil"/>
              <w:right w:val="nil"/>
            </w:tcBorders>
            <w:tcMar>
              <w:top w:w="0" w:type="dxa"/>
              <w:left w:w="30" w:type="dxa"/>
              <w:bottom w:w="0" w:type="dxa"/>
              <w:right w:w="30" w:type="dxa"/>
            </w:tcMar>
            <w:vAlign w:val="bottom"/>
          </w:tcPr>
          <w:p>
            <w:pPr>
              <w:jc w:val="center"/>
              <w:rPr>
                <w:rFonts w:eastAsia="Calibri"/>
                <w:sz w:val="18"/>
                <w:szCs w:val="18"/>
              </w:rPr>
            </w:pPr>
            <w:r>
              <w:rPr>
                <w:rFonts w:eastAsia="Calibri"/>
                <w:sz w:val="18"/>
                <w:szCs w:val="18"/>
              </w:rPr>
              <w:t>至多存在2个协整关系</w:t>
            </w:r>
          </w:p>
        </w:tc>
        <w:tc>
          <w:tcPr>
            <w:tcW w:w="1690" w:type="dxa"/>
            <w:tcBorders>
              <w:top w:val="nil"/>
              <w:left w:val="nil"/>
              <w:bottom w:val="nil"/>
              <w:right w:val="nil"/>
            </w:tcBorders>
            <w:tcMar>
              <w:top w:w="0" w:type="dxa"/>
              <w:left w:w="30" w:type="dxa"/>
              <w:bottom w:w="0" w:type="dxa"/>
              <w:right w:w="30" w:type="dxa"/>
            </w:tcMar>
            <w:vAlign w:val="center"/>
          </w:tcPr>
          <w:p>
            <w:pPr>
              <w:jc w:val="center"/>
              <w:rPr>
                <w:rFonts w:eastAsia="Calibri"/>
                <w:sz w:val="18"/>
                <w:szCs w:val="18"/>
              </w:rPr>
            </w:pPr>
            <w:r>
              <w:rPr>
                <w:rFonts w:eastAsia="Calibri"/>
                <w:sz w:val="18"/>
                <w:szCs w:val="18"/>
              </w:rPr>
              <w:t>0.351</w:t>
            </w:r>
          </w:p>
        </w:tc>
        <w:tc>
          <w:tcPr>
            <w:tcW w:w="1690" w:type="dxa"/>
            <w:tcBorders>
              <w:top w:val="nil"/>
              <w:left w:val="nil"/>
              <w:bottom w:val="nil"/>
              <w:right w:val="nil"/>
            </w:tcBorders>
            <w:tcMar>
              <w:top w:w="0" w:type="dxa"/>
              <w:left w:w="30" w:type="dxa"/>
              <w:bottom w:w="0" w:type="dxa"/>
              <w:right w:w="30" w:type="dxa"/>
            </w:tcMar>
            <w:vAlign w:val="center"/>
          </w:tcPr>
          <w:p>
            <w:pPr>
              <w:jc w:val="center"/>
              <w:rPr>
                <w:rFonts w:eastAsia="Calibri"/>
                <w:sz w:val="18"/>
                <w:szCs w:val="18"/>
              </w:rPr>
            </w:pPr>
            <w:r>
              <w:rPr>
                <w:rFonts w:eastAsia="Calibri"/>
                <w:sz w:val="18"/>
                <w:szCs w:val="18"/>
              </w:rPr>
              <w:t>10.854</w:t>
            </w:r>
          </w:p>
        </w:tc>
        <w:tc>
          <w:tcPr>
            <w:tcW w:w="1690" w:type="dxa"/>
            <w:tcBorders>
              <w:top w:val="nil"/>
              <w:left w:val="nil"/>
              <w:bottom w:val="nil"/>
              <w:right w:val="nil"/>
            </w:tcBorders>
            <w:tcMar>
              <w:top w:w="0" w:type="dxa"/>
              <w:left w:w="30" w:type="dxa"/>
              <w:bottom w:w="0" w:type="dxa"/>
              <w:right w:w="30" w:type="dxa"/>
            </w:tcMar>
            <w:vAlign w:val="center"/>
          </w:tcPr>
          <w:p>
            <w:pPr>
              <w:jc w:val="center"/>
              <w:rPr>
                <w:rFonts w:eastAsia="Calibri"/>
                <w:sz w:val="18"/>
                <w:szCs w:val="18"/>
              </w:rPr>
            </w:pPr>
            <w:r>
              <w:rPr>
                <w:rFonts w:eastAsia="Calibri"/>
                <w:sz w:val="18"/>
                <w:szCs w:val="18"/>
              </w:rPr>
              <w:t>0.087</w:t>
            </w:r>
          </w:p>
        </w:tc>
      </w:tr>
      <w:tr>
        <w:tblPrEx>
          <w:tblLayout w:type="fixed"/>
          <w:tblCellMar>
            <w:top w:w="0" w:type="dxa"/>
            <w:left w:w="108" w:type="dxa"/>
            <w:bottom w:w="0" w:type="dxa"/>
            <w:right w:w="108" w:type="dxa"/>
          </w:tblCellMar>
        </w:tblPrEx>
        <w:trPr>
          <w:trHeight w:val="272" w:hRule="atLeast"/>
          <w:jc w:val="center"/>
        </w:trPr>
        <w:tc>
          <w:tcPr>
            <w:tcW w:w="3305" w:type="dxa"/>
            <w:tcBorders>
              <w:top w:val="nil"/>
              <w:left w:val="nil"/>
              <w:bottom w:val="single" w:color="000000" w:sz="8" w:space="0"/>
              <w:right w:val="nil"/>
            </w:tcBorders>
            <w:tcMar>
              <w:top w:w="0" w:type="dxa"/>
              <w:left w:w="30" w:type="dxa"/>
              <w:bottom w:w="0" w:type="dxa"/>
              <w:right w:w="30" w:type="dxa"/>
            </w:tcMar>
            <w:vAlign w:val="bottom"/>
          </w:tcPr>
          <w:p>
            <w:pPr>
              <w:jc w:val="center"/>
              <w:rPr>
                <w:rFonts w:eastAsia="Calibri"/>
                <w:sz w:val="18"/>
                <w:szCs w:val="18"/>
              </w:rPr>
            </w:pPr>
            <w:r>
              <w:rPr>
                <w:rFonts w:eastAsia="Calibri"/>
                <w:sz w:val="18"/>
                <w:szCs w:val="18"/>
              </w:rPr>
              <w:t>至多存在3个协整关系</w:t>
            </w:r>
          </w:p>
        </w:tc>
        <w:tc>
          <w:tcPr>
            <w:tcW w:w="1690" w:type="dxa"/>
            <w:tcBorders>
              <w:top w:val="nil"/>
              <w:left w:val="nil"/>
              <w:bottom w:val="single" w:color="000000" w:sz="8" w:space="0"/>
              <w:right w:val="nil"/>
            </w:tcBorders>
            <w:tcMar>
              <w:top w:w="0" w:type="dxa"/>
              <w:left w:w="30" w:type="dxa"/>
              <w:bottom w:w="0" w:type="dxa"/>
              <w:right w:w="30" w:type="dxa"/>
            </w:tcMar>
            <w:vAlign w:val="center"/>
          </w:tcPr>
          <w:p>
            <w:pPr>
              <w:jc w:val="center"/>
              <w:rPr>
                <w:rFonts w:eastAsia="Calibri"/>
                <w:sz w:val="18"/>
                <w:szCs w:val="18"/>
              </w:rPr>
            </w:pPr>
            <w:r>
              <w:rPr>
                <w:rFonts w:eastAsia="Calibri"/>
                <w:sz w:val="18"/>
                <w:szCs w:val="18"/>
              </w:rPr>
              <w:t>0.001</w:t>
            </w:r>
          </w:p>
        </w:tc>
        <w:tc>
          <w:tcPr>
            <w:tcW w:w="1690" w:type="dxa"/>
            <w:tcBorders>
              <w:top w:val="nil"/>
              <w:left w:val="nil"/>
              <w:bottom w:val="single" w:color="000000" w:sz="8" w:space="0"/>
              <w:right w:val="nil"/>
            </w:tcBorders>
            <w:tcMar>
              <w:top w:w="0" w:type="dxa"/>
              <w:left w:w="30" w:type="dxa"/>
              <w:bottom w:w="0" w:type="dxa"/>
              <w:right w:w="30" w:type="dxa"/>
            </w:tcMar>
            <w:vAlign w:val="center"/>
          </w:tcPr>
          <w:p>
            <w:pPr>
              <w:jc w:val="center"/>
              <w:rPr>
                <w:rFonts w:eastAsia="Calibri"/>
                <w:sz w:val="18"/>
                <w:szCs w:val="18"/>
              </w:rPr>
            </w:pPr>
            <w:r>
              <w:rPr>
                <w:rFonts w:eastAsia="Calibri"/>
                <w:sz w:val="18"/>
                <w:szCs w:val="18"/>
              </w:rPr>
              <w:t>0.032</w:t>
            </w:r>
          </w:p>
        </w:tc>
        <w:tc>
          <w:tcPr>
            <w:tcW w:w="1690" w:type="dxa"/>
            <w:tcBorders>
              <w:top w:val="nil"/>
              <w:left w:val="nil"/>
              <w:bottom w:val="single" w:color="000000" w:sz="8" w:space="0"/>
              <w:right w:val="nil"/>
            </w:tcBorders>
            <w:tcMar>
              <w:top w:w="0" w:type="dxa"/>
              <w:left w:w="30" w:type="dxa"/>
              <w:bottom w:w="0" w:type="dxa"/>
              <w:right w:w="30" w:type="dxa"/>
            </w:tcMar>
            <w:vAlign w:val="center"/>
          </w:tcPr>
          <w:p>
            <w:pPr>
              <w:jc w:val="center"/>
              <w:rPr>
                <w:rFonts w:eastAsia="Calibri"/>
                <w:sz w:val="18"/>
                <w:szCs w:val="18"/>
              </w:rPr>
            </w:pPr>
            <w:r>
              <w:rPr>
                <w:rFonts w:eastAsia="Calibri"/>
                <w:sz w:val="18"/>
                <w:szCs w:val="18"/>
              </w:rPr>
              <w:t>0.884</w:t>
            </w:r>
          </w:p>
        </w:tc>
      </w:tr>
    </w:tbl>
    <w:p>
      <w:pPr>
        <w:rPr>
          <w:rFonts w:eastAsia="黑体"/>
          <w:szCs w:val="21"/>
        </w:rPr>
      </w:pPr>
      <w:bookmarkStart w:id="6" w:name="_Toc357668375"/>
      <w:bookmarkEnd w:id="6"/>
      <w:bookmarkStart w:id="7" w:name="_Toc359506471"/>
      <w:bookmarkEnd w:id="7"/>
      <w:r>
        <w:rPr>
          <w:rFonts w:eastAsia="黑体"/>
          <w:szCs w:val="21"/>
        </w:rPr>
        <w:t>（三） 长期均衡模型</w:t>
      </w:r>
    </w:p>
    <w:p>
      <w:pPr>
        <w:rPr>
          <w:rFonts w:eastAsia="Calibri"/>
          <w:szCs w:val="21"/>
        </w:rPr>
      </w:pPr>
      <w:r>
        <w:rPr>
          <w:rFonts w:eastAsia="Calibri"/>
          <w:szCs w:val="21"/>
        </w:rPr>
        <w:t>根据格兰杰因果关系检验和协整关系的检验，农业全要素生产率和农村公路投资、灌溉投资及电力投资之间存在长期稳定的均衡关系，因此建立下列长期均衡模型：</w:t>
      </w:r>
    </w:p>
    <w:p>
      <w:pPr>
        <w:jc w:val="center"/>
        <w:rPr>
          <w:rFonts w:eastAsia="Calibri"/>
          <w:szCs w:val="21"/>
        </w:rPr>
      </w:pPr>
      <w:r>
        <w:object>
          <v:shape id="_x0000_i1030" o:spt="75" type="#_x0000_t75" style="height:15.15pt;width:254.45pt;" o:ole="t" filled="f" o:preferrelative="t" stroked="f" coordsize="21600,21600">
            <v:path/>
            <v:fill on="f" focussize="0,0"/>
            <v:stroke on="f"/>
            <v:imagedata r:id="rId14" o:title="media/image5"/>
            <o:lock v:ext="edit" aspectratio="t"/>
            <w10:wrap type="none"/>
            <w10:anchorlock/>
          </v:shape>
          <o:OLEObject Type="Embed" ProgID="MathType 6.0 Equation" ShapeID="_x0000_i1030" DrawAspect="Content" ObjectID="_1468075729" r:id="rId13">
            <o:LockedField>false</o:LockedField>
          </o:OLEObject>
        </w:object>
      </w:r>
      <w:r>
        <w:rPr>
          <w:rFonts w:eastAsia="Calibri"/>
          <w:szCs w:val="21"/>
        </w:rPr>
        <w:t xml:space="preserve"> (1)</w:t>
      </w:r>
    </w:p>
    <w:p>
      <w:pPr>
        <w:jc w:val="left"/>
        <w:rPr>
          <w:rFonts w:eastAsia="Calibri"/>
          <w:szCs w:val="21"/>
        </w:rPr>
      </w:pPr>
      <w:r>
        <w:rPr>
          <w:rFonts w:eastAsia="Calibri"/>
          <w:szCs w:val="21"/>
        </w:rPr>
        <w:t>利用Eviews 8.0,模型估计结果如下：</w:t>
      </w:r>
    </w:p>
    <w:p>
      <w:pPr>
        <w:jc w:val="center"/>
        <w:rPr>
          <w:rFonts w:eastAsia="Calibri"/>
          <w:szCs w:val="21"/>
        </w:rPr>
      </w:pPr>
      <w:r>
        <w:object>
          <v:shape id="_x0000_i1031" o:spt="75" type="#_x0000_t75" style="height:60.1pt;width:306.35pt;" o:ole="t" filled="f" o:preferrelative="t" stroked="f" coordsize="21600,21600">
            <v:path/>
            <v:fill on="f" focussize="0,0"/>
            <v:stroke on="f"/>
            <v:imagedata r:id="rId16" o:title="media/image6"/>
            <o:lock v:ext="edit" aspectratio="t"/>
            <w10:wrap type="none"/>
            <w10:anchorlock/>
          </v:shape>
          <o:OLEObject Type="Embed" ProgID="MathType 6.0 Equation" ShapeID="_x0000_i1031" DrawAspect="Content" ObjectID="_1468075730" r:id="rId15">
            <o:LockedField>false</o:LockedField>
          </o:OLEObject>
        </w:object>
      </w:r>
    </w:p>
    <w:p>
      <w:pPr>
        <w:ind w:firstLine="420"/>
        <w:jc w:val="left"/>
        <w:rPr>
          <w:rFonts w:eastAsia="Calibri"/>
          <w:szCs w:val="21"/>
        </w:rPr>
      </w:pPr>
      <w:r>
        <w:rPr>
          <w:rFonts w:eastAsia="Calibri"/>
          <w:szCs w:val="21"/>
        </w:rPr>
        <w:t>对该模型的残差进行平稳性检验，ADF检验中的t检验统计量的值为-2.633，对应的P值为0.0995，在10%的显著性水平下拒绝了“残差序列存在单位根”的原假设，说明残差是平稳序列，因此，LnTFP, LnRoad, LnIrrigation, LnPower存在协整关系，即农业全要素生产率和三类农村基础设施投资之间存在长期均衡关系。</w:t>
      </w:r>
    </w:p>
    <w:p>
      <w:pPr>
        <w:ind w:firstLine="420"/>
        <w:rPr>
          <w:rFonts w:eastAsia="Calibri"/>
          <w:color w:val="FF6600"/>
          <w:szCs w:val="21"/>
        </w:rPr>
      </w:pPr>
      <w:r>
        <w:rPr>
          <w:rFonts w:eastAsia="Calibri"/>
          <w:szCs w:val="21"/>
        </w:rPr>
        <w:t>长期均衡模型的估计结果表明，三类农村基础设施投资对农业全要素生产率都有显著地正向影响。LnRoad的系数是0.180，在0.01的水平上显著，表明公路投资每增加1%，农业全要素生产率平均增加0.180%；LnIrrigation的系数是0.658，在0.01的水平上显著，表明灌溉投资每增加1%，农业全要素生产率平均增加0.658%。LnPower的系数为0.033，其对应的p值为0.178，代表的是双侧检验的p值。由于预期电力投资对农业全要素生产率的影响是正向的，因此可对LnPower的系数进行右侧检验，其p值为0.089，在10%的显著性水平下可以认为电力投资对农业全要素生产率是有显著地正向影响的，估计结果表明电力投资每增加1%，农业全要素生产率平均增加0.033%。长期而言，</w:t>
      </w:r>
      <w:bookmarkStart w:id="8" w:name="_Toc357668376"/>
      <w:bookmarkEnd w:id="8"/>
      <w:r>
        <w:rPr>
          <w:rFonts w:eastAsia="Calibri"/>
          <w:szCs w:val="21"/>
        </w:rPr>
        <w:t>灌溉投资在三类基础设施投资中的贡献最大，这说明灌溉投资已成为改善我农业生产条件的关键。灌溉投资形成的灌溉配套设施能显著改善农业生产的土地条件，挖掘农业生产的潜力，保障农业生产的可持续发展。如果没有科学设计的灌溉设施，农作物生长过程中喷洒的化肥农药会渗入地下，不仅会破坏土壤中的微生物菌群，导致土壤板结土地质量下降，还会破坏地下水循环系统，造成生态环境系统的恶化。公路投资形成的农村路网，能加速农业生产要素的流动、促进先进农业生产技术的扩散，降低交易成本，对农业全要素生产率的提高作用明显。电力投资在三类基础设施投资中的效应相对最小，这与我国目前农业电气化水平较低、大规模集约化程度不够是有一定联系的。</w:t>
      </w:r>
    </w:p>
    <w:p>
      <w:pPr>
        <w:rPr>
          <w:rFonts w:eastAsia="黑体"/>
          <w:szCs w:val="21"/>
        </w:rPr>
      </w:pPr>
      <w:bookmarkStart w:id="9" w:name="_Toc359506472"/>
      <w:bookmarkEnd w:id="9"/>
      <w:r>
        <w:rPr>
          <w:rFonts w:eastAsia="黑体"/>
          <w:szCs w:val="21"/>
        </w:rPr>
        <w:t>（四）短期动态模型</w:t>
      </w:r>
    </w:p>
    <w:p>
      <w:pPr>
        <w:ind w:firstLine="420"/>
        <w:rPr>
          <w:rFonts w:eastAsia="Calibri"/>
          <w:szCs w:val="21"/>
        </w:rPr>
      </w:pPr>
      <w:r>
        <w:rPr>
          <w:rFonts w:eastAsia="Calibri"/>
          <w:szCs w:val="21"/>
        </w:rPr>
        <w:t>模型1反映的是变量之间的长期均衡关系，如果由于某种原因出现了偏离均衡的状况，则必然会通过对误差的修正使变量重返均衡状态。恩格尔和格兰杰在1987年提出了“格兰杰表述定理（Granger Representation Theorem）”：如果变量x和变量y是协整的，则它们存在长期均衡关系，它们的短期非均衡总能由一个误差修正模型（Error Correction Model）表述，即：</w:t>
      </w:r>
    </w:p>
    <w:p>
      <w:pPr>
        <w:ind w:firstLine="420"/>
        <w:rPr>
          <w:rFonts w:eastAsia="Calibri"/>
          <w:szCs w:val="21"/>
        </w:rPr>
      </w:pPr>
      <w:r>
        <w:object>
          <v:shape id="_x0000_i1032" o:spt="75" type="#_x0000_t75" style="height:15.15pt;width:150.5pt;" o:ole="t" filled="f" o:preferrelative="t" stroked="f" coordsize="21600,21600">
            <v:path/>
            <v:fill on="f" focussize="0,0"/>
            <v:stroke on="f"/>
            <v:imagedata r:id="rId18" o:title="media/image7"/>
            <o:lock v:ext="edit" aspectratio="t"/>
            <w10:wrap type="none"/>
            <w10:anchorlock/>
          </v:shape>
          <o:OLEObject Type="Embed" ProgID="MathType 6.0 Equation" ShapeID="_x0000_i1032" DrawAspect="Content" ObjectID="_1468075731" r:id="rId17">
            <o:LockedField>false</o:LockedField>
          </o:OLEObject>
        </w:object>
      </w:r>
      <w:r>
        <w:rPr>
          <w:rFonts w:eastAsia="Calibri"/>
          <w:szCs w:val="21"/>
        </w:rPr>
        <w:t>（2）</w:t>
      </w:r>
    </w:p>
    <w:p>
      <w:pPr>
        <w:ind w:firstLine="420"/>
        <w:rPr>
          <w:rFonts w:eastAsia="Calibri"/>
          <w:szCs w:val="21"/>
        </w:rPr>
      </w:pPr>
      <w:r>
        <w:rPr>
          <w:rFonts w:eastAsia="Calibri"/>
          <w:szCs w:val="21"/>
        </w:rPr>
        <w:t>其中的</w:t>
      </w:r>
      <w:r>
        <w:object>
          <v:shape id="_x0000_i1033" o:spt="75" type="#_x0000_t75" style="height:15.15pt;width:33.5pt;" o:ole="t" filled="f" o:preferrelative="t" stroked="f" coordsize="21600,21600">
            <v:path/>
            <v:fill on="f" focussize="0,0"/>
            <v:stroke on="f"/>
            <v:imagedata r:id="rId20" o:title="media/image8"/>
            <o:lock v:ext="edit" aspectratio="t"/>
            <w10:wrap type="none"/>
            <w10:anchorlock/>
          </v:shape>
          <o:OLEObject Type="Embed" ProgID="MathType 6.0 Equation" ShapeID="_x0000_i1033" DrawAspect="Content" ObjectID="_1468075732" r:id="rId19">
            <o:LockedField>false</o:LockedField>
          </o:OLEObject>
        </w:object>
      </w:r>
      <w:r>
        <w:rPr>
          <w:rFonts w:eastAsia="Calibri"/>
          <w:szCs w:val="21"/>
        </w:rPr>
        <w:t>是协整关系中的残差项，其系数是短期调整系数，该系数若是显著的，则能反映当短期波动偏离长期均衡时，系统将以多大的调整力度将非均衡状态拉回均衡状态。短期动态模型的估计步骤是：首先对模型中的变量进行协整分析，建立长期均衡模型，然后将长期均衡模型中的残差项看成一个新的解释变量，连同反映短期波动的其他解释变量的一阶差分项一起联合起来解释因变量的短期波动，建立形式如（2）的短期波动模型。</w:t>
      </w:r>
    </w:p>
    <w:p>
      <w:pPr>
        <w:ind w:firstLine="368"/>
        <w:rPr>
          <w:rFonts w:eastAsia="Calibri"/>
          <w:szCs w:val="21"/>
        </w:rPr>
      </w:pPr>
      <w:r>
        <w:rPr>
          <w:rFonts w:eastAsia="Calibri"/>
          <w:szCs w:val="21"/>
        </w:rPr>
        <w:t>在确定了农业全要素生产率和农村基础设施投资的长期均衡关系之后，可以进一步估计它们之间的误差修正过程，考察误差修正项的短期波动、农村基础设施投资的短期波动对农业全要素生产率的短期波动的影响。因此，在前文长期均衡模型的基础上，根据格兰杰表述定理，建立如下反映农村基础设施短期波动对农业全要素生产率短期波动影响的误差修正模型：</w:t>
      </w:r>
    </w:p>
    <w:p>
      <w:pPr>
        <w:ind w:firstLine="420"/>
        <w:rPr>
          <w:rFonts w:eastAsia="Calibri"/>
          <w:szCs w:val="21"/>
        </w:rPr>
      </w:pPr>
      <w:r>
        <w:object>
          <v:shape id="_x0000_i1034" o:spt="75" type="#_x0000_t75" style="height:15.15pt;width:328.05pt;" o:ole="t" filled="f" o:preferrelative="t" stroked="f" coordsize="21600,21600">
            <v:path/>
            <v:fill on="f" focussize="0,0"/>
            <v:stroke on="f"/>
            <v:imagedata r:id="rId22" o:title="media/image9"/>
            <o:lock v:ext="edit" aspectratio="t"/>
            <w10:wrap type="none"/>
            <w10:anchorlock/>
          </v:shape>
          <o:OLEObject Type="Embed" ProgID="MathType 6.0 Equation" ShapeID="_x0000_i1034" DrawAspect="Content" ObjectID="_1468075733" r:id="rId21">
            <o:LockedField>false</o:LockedField>
          </o:OLEObject>
        </w:object>
      </w:r>
      <w:r>
        <w:rPr>
          <w:rFonts w:eastAsia="Calibri"/>
          <w:szCs w:val="21"/>
        </w:rPr>
        <w:t>（3）</w:t>
      </w:r>
    </w:p>
    <w:p>
      <w:pPr>
        <w:ind w:firstLine="420"/>
        <w:rPr>
          <w:rFonts w:eastAsia="Calibri"/>
          <w:szCs w:val="21"/>
        </w:rPr>
      </w:pPr>
      <w:r>
        <w:object>
          <v:shape id="_x0000_i1035" o:spt="75" type="#_x0000_t75" style="height:15.15pt;width:33.5pt;" o:ole="t" filled="f" o:preferrelative="t" stroked="f" coordsize="21600,21600">
            <v:path/>
            <v:fill on="f" focussize="0,0"/>
            <v:stroke on="f"/>
            <v:imagedata r:id="rId20" o:title="media/image8"/>
            <o:lock v:ext="edit" aspectratio="t"/>
            <w10:wrap type="none"/>
            <w10:anchorlock/>
          </v:shape>
          <o:OLEObject Type="Embed" ProgID="MathType 6.0 Equation" ShapeID="_x0000_i1035" DrawAspect="Content" ObjectID="_1468075734" r:id="rId23">
            <o:LockedField>false</o:LockedField>
          </o:OLEObject>
        </w:object>
      </w:r>
      <w:r>
        <w:rPr>
          <w:rFonts w:eastAsia="Calibri"/>
          <w:szCs w:val="21"/>
        </w:rPr>
        <w:t>是长期均衡模型中的残差项，</w:t>
      </w:r>
      <w:r>
        <w:object>
          <v:shape id="_x0000_i1036" o:spt="75" type="#_x0000_t75" style="height:15.15pt;width:194.35pt;" o:ole="t" filled="f" o:preferrelative="t" stroked="f" coordsize="21600,21600">
            <v:path/>
            <v:fill on="f" focussize="0,0"/>
            <v:stroke on="f"/>
            <v:imagedata r:id="rId25" o:title="media/image10"/>
            <o:lock v:ext="edit" aspectratio="t"/>
            <w10:wrap type="none"/>
            <w10:anchorlock/>
          </v:shape>
          <o:OLEObject Type="Embed" ProgID="MathType 6.0 Equation" ShapeID="_x0000_i1036" DrawAspect="Content" ObjectID="_1468075735" r:id="rId24">
            <o:LockedField>false</o:LockedField>
          </o:OLEObject>
        </w:object>
      </w:r>
      <w:r>
        <w:rPr>
          <w:rFonts w:eastAsia="Calibri"/>
          <w:szCs w:val="21"/>
        </w:rPr>
        <w:t>是对序列</w:t>
      </w:r>
      <w:r>
        <w:object>
          <v:shape id="_x0000_i1037" o:spt="75" type="#_x0000_t75" style="height:15.15pt;width:172.65pt;" o:ole="t" filled="f" o:preferrelative="t" stroked="f" coordsize="21600,21600">
            <v:path/>
            <v:fill on="f" focussize="0,0"/>
            <v:stroke on="f"/>
            <v:imagedata r:id="rId27" o:title="media/image11"/>
            <o:lock v:ext="edit" aspectratio="t"/>
            <w10:wrap type="none"/>
            <w10:anchorlock/>
          </v:shape>
          <o:OLEObject Type="Embed" ProgID="MathType 6.0 Equation" ShapeID="_x0000_i1037" DrawAspect="Content" ObjectID="_1468075736" r:id="rId26">
            <o:LockedField>false</o:LockedField>
          </o:OLEObject>
        </w:object>
      </w:r>
      <w:r>
        <w:rPr>
          <w:rFonts w:eastAsia="Calibri"/>
          <w:szCs w:val="21"/>
        </w:rPr>
        <w:t>取一阶差分变换，利用eviews 8.0软件，估计结果如下：</w:t>
      </w:r>
    </w:p>
    <w:p>
      <w:pPr>
        <w:ind w:firstLine="420"/>
        <w:rPr>
          <w:rFonts w:eastAsia="Calibri"/>
          <w:szCs w:val="21"/>
        </w:rPr>
      </w:pPr>
      <w:r>
        <w:object>
          <v:shape id="_x0000_i1038" o:spt="75" type="#_x0000_t75" style="height:63.35pt;width:378.4pt;" o:ole="t" filled="f" o:preferrelative="t" stroked="f" coordsize="21600,21600">
            <v:path/>
            <v:fill on="f" focussize="0,0"/>
            <v:stroke on="f"/>
            <v:imagedata r:id="rId29" o:title="media/image12"/>
            <o:lock v:ext="edit" aspectratio="t"/>
            <w10:wrap type="none"/>
            <w10:anchorlock/>
          </v:shape>
          <o:OLEObject Type="Embed" ProgID="MathType 6.0 Equation" ShapeID="_x0000_i1038" DrawAspect="Content" ObjectID="_1468075737" r:id="rId28">
            <o:LockedField>false</o:LockedField>
          </o:OLEObject>
        </w:object>
      </w:r>
    </w:p>
    <w:p>
      <w:pPr>
        <w:ind w:firstLine="480"/>
        <w:rPr>
          <w:rFonts w:eastAsia="Calibri"/>
          <w:szCs w:val="21"/>
        </w:rPr>
      </w:pPr>
      <w:r>
        <w:rPr>
          <w:rFonts w:eastAsia="Calibri"/>
          <w:szCs w:val="21"/>
        </w:rPr>
        <w:t>误差修正模型的估计结果表明，农业全要素生产率的短期波动可以分解成两部分：一部分是公路投资、灌溉投资和电力投资短期波动的影响；一部分是农业全要素生产率和三类投资之间偏离长期均衡的影响。误差修正项</w:t>
      </w:r>
      <w:r>
        <w:object>
          <v:shape id="_x0000_i1039" o:spt="75" type="#_x0000_t75" style="height:15.15pt;width:33.5pt;" o:ole="t" filled="f" o:preferrelative="t" stroked="f" coordsize="21600,21600">
            <v:path/>
            <v:fill on="f" focussize="0,0"/>
            <v:stroke on="f"/>
            <v:imagedata r:id="rId31" o:title="media/image13"/>
            <o:lock v:ext="edit" aspectratio="t"/>
            <w10:wrap type="none"/>
            <w10:anchorlock/>
          </v:shape>
          <o:OLEObject Type="Embed" ProgID="MathType 6.0 Equation" ShapeID="_x0000_i1039" DrawAspect="Content" ObjectID="_1468075738" r:id="rId30">
            <o:LockedField>false</o:LockedField>
          </o:OLEObject>
        </w:object>
      </w:r>
      <w:r>
        <w:rPr>
          <w:rFonts w:eastAsia="Calibri"/>
          <w:szCs w:val="21"/>
        </w:rPr>
        <w:t>的系数为-0.254，在0.10的显著性水平上显著，表明农业全要素生产率和公路投资、灌溉投资和电子投资之间的长期均衡关系存在短期修正效应，当农业全要素生产率的短期波动偏离长期均衡时，将以25.4%的调整力度将非均衡状态调整至均衡状态。</w:t>
      </w:r>
    </w:p>
    <w:p>
      <w:pPr>
        <w:ind w:firstLine="480"/>
        <w:rPr>
          <w:rFonts w:eastAsia="Calibri"/>
          <w:szCs w:val="21"/>
        </w:rPr>
      </w:pPr>
      <w:r>
        <w:rPr>
          <w:rFonts w:eastAsia="Calibri"/>
          <w:szCs w:val="21"/>
        </w:rPr>
        <w:t>误差修正模型还反映了</w:t>
      </w:r>
      <w:r>
        <w:object>
          <v:shape id="_x0000_i1040" o:spt="75" type="#_x0000_t75" style="height:15.15pt;width:33.5pt;" o:ole="t" filled="f" o:preferrelative="t" stroked="f" coordsize="21600,21600">
            <v:path/>
            <v:fill on="f" focussize="0,0"/>
            <v:stroke on="f"/>
            <v:imagedata r:id="rId33" o:title="media/image14"/>
            <o:lock v:ext="edit" aspectratio="t"/>
            <w10:wrap type="none"/>
            <w10:anchorlock/>
          </v:shape>
          <o:OLEObject Type="Embed" ProgID="MathType 6.0 Equation" ShapeID="_x0000_i1040" DrawAspect="Content" ObjectID="_1468075739" r:id="rId32">
            <o:LockedField>false</o:LockedField>
          </o:OLEObject>
        </w:object>
      </w:r>
      <w:r>
        <w:rPr>
          <w:rFonts w:eastAsia="Calibri"/>
          <w:szCs w:val="21"/>
        </w:rPr>
        <w:t>受</w:t>
      </w:r>
      <w:r>
        <w:object>
          <v:shape id="_x0000_i1041" o:spt="75" type="#_x0000_t75" style="height:15.15pt;width:137.5pt;" o:ole="t" filled="f" o:preferrelative="t" stroked="f" coordsize="21600,21600">
            <v:path/>
            <v:fill on="f" focussize="0,0"/>
            <v:stroke on="f"/>
            <v:imagedata r:id="rId35" o:title="media/image15"/>
            <o:lock v:ext="edit" aspectratio="t"/>
            <w10:wrap type="none"/>
            <w10:anchorlock/>
          </v:shape>
          <o:OLEObject Type="Embed" ProgID="MathType 6.0 Equation" ShapeID="_x0000_i1041" DrawAspect="Content" ObjectID="_1468075740" r:id="rId34">
            <o:LockedField>false</o:LockedField>
          </o:OLEObject>
        </w:object>
      </w:r>
      <w:r>
        <w:rPr>
          <w:rFonts w:eastAsia="Calibri"/>
          <w:szCs w:val="21"/>
        </w:rPr>
        <w:t>短期波动的影响规律，在10%的显著性水平下，</w:t>
      </w:r>
      <w:r>
        <w:object>
          <v:shape id="_x0000_i1042" o:spt="75" type="#_x0000_t75" style="height:13pt;width:43.85pt;" o:ole="t" filled="f" o:preferrelative="t" stroked="f" coordsize="21600,21600">
            <v:path/>
            <v:fill on="f" focussize="0,0"/>
            <v:stroke on="f"/>
            <v:imagedata r:id="rId37" o:title="media/image16"/>
            <o:lock v:ext="edit" aspectratio="t"/>
            <w10:wrap type="none"/>
            <w10:anchorlock/>
          </v:shape>
          <o:OLEObject Type="Embed" ProgID="MathType 6.0 Equation" ShapeID="_x0000_i1042" DrawAspect="Content" ObjectID="_1468075741" r:id="rId36">
            <o:LockedField>false</o:LockedField>
          </o:OLEObject>
        </w:object>
      </w:r>
      <w:r>
        <w:rPr>
          <w:rFonts w:eastAsia="Calibri"/>
          <w:szCs w:val="21"/>
        </w:rPr>
        <w:t>和</w:t>
      </w:r>
      <w:r>
        <w:object>
          <v:shape id="_x0000_i1043" o:spt="75" type="#_x0000_t75" style="height:11.9pt;width:47.1pt;" o:ole="t" filled="f" o:preferrelative="t" stroked="f" coordsize="21600,21600">
            <v:path/>
            <v:fill on="f" focussize="0,0"/>
            <v:stroke on="f"/>
            <v:imagedata r:id="rId39" o:title="media/image17"/>
            <o:lock v:ext="edit" aspectratio="t"/>
            <w10:wrap type="none"/>
            <w10:anchorlock/>
          </v:shape>
          <o:OLEObject Type="Embed" ProgID="MathType 6.0 Equation" ShapeID="_x0000_i1043" DrawAspect="Content" ObjectID="_1468075742" r:id="rId38">
            <o:LockedField>false</o:LockedField>
          </o:OLEObject>
        </w:object>
      </w:r>
      <w:r>
        <w:rPr>
          <w:rFonts w:eastAsia="Calibri"/>
          <w:szCs w:val="21"/>
        </w:rPr>
        <w:t>的系数都是显著地大于0的，但是</w:t>
      </w:r>
      <w:r>
        <w:object>
          <v:shape id="_x0000_i1044" o:spt="75" type="#_x0000_t75" style="height:13pt;width:60.1pt;" o:ole="t" filled="f" o:preferrelative="t" stroked="f" coordsize="21600,21600">
            <v:path/>
            <v:fill on="f" focussize="0,0"/>
            <v:stroke on="f"/>
            <v:imagedata r:id="rId41" o:title="media/image18"/>
            <o:lock v:ext="edit" aspectratio="t"/>
            <w10:wrap type="none"/>
            <w10:anchorlock/>
          </v:shape>
          <o:OLEObject Type="Embed" ProgID="MathType 6.0 Equation" ShapeID="_x0000_i1044" DrawAspect="Content" ObjectID="_1468075743" r:id="rId40">
            <o:LockedField>false</o:LockedField>
          </o:OLEObject>
        </w:object>
      </w:r>
      <w:r>
        <w:rPr>
          <w:rFonts w:eastAsia="Calibri"/>
          <w:szCs w:val="21"/>
        </w:rPr>
        <w:t>的系数并不显著。这表明在短期，公路投资每增加1%，农业全要素生产率平均增加0.046%；电力投资每增加1%，农业全要素生产率平均增加0.028%，而在短期波动模型中，灌溉投资的系数并不显著，这说明灌溉投资对农业全要素生产率的影响效应在短期内并不显著，这意味着灌溉投资对土壤条件农作物生产条件的改善并不是立竿见影的，而需要一定的时间才能显现。灌溉投资对农作物生长环境的改善是一个长期的过程，对灌溉设施进行科学地规划和建设，是农业长期增长的保障。从短期来看，公路投资对农业全要素生产率的效应最为明显，公路建设成效见效快，农村路网的建设和完善，能在短期内最有效地推动农业生产要素和产品的流通，加快农业的专业化专业经营，促进农业增长方式的转型。</w:t>
      </w:r>
    </w:p>
    <w:p>
      <w:pPr>
        <w:spacing w:before="240" w:after="240"/>
        <w:jc w:val="center"/>
        <w:rPr>
          <w:rFonts w:ascii="华文细黑" w:hAnsi="华文细黑" w:eastAsia="华文细黑"/>
          <w:sz w:val="22"/>
          <w:szCs w:val="21"/>
        </w:rPr>
      </w:pPr>
      <w:r>
        <w:rPr>
          <w:rFonts w:ascii="华文细黑" w:hAnsi="华文细黑" w:eastAsia="华文细黑"/>
          <w:sz w:val="22"/>
          <w:szCs w:val="21"/>
        </w:rPr>
        <w:t>四、主要结论</w:t>
      </w:r>
    </w:p>
    <w:p>
      <w:pPr>
        <w:ind w:firstLine="480"/>
        <w:rPr>
          <w:rFonts w:eastAsia="Calibri"/>
          <w:szCs w:val="21"/>
        </w:rPr>
      </w:pPr>
      <w:r>
        <w:rPr>
          <w:rFonts w:eastAsia="Calibri"/>
          <w:szCs w:val="21"/>
        </w:rPr>
        <w:t>本研究对我国1985-2011年的农村公路投资、灌溉投资及电力投资和农业全要素生产率进行了协整检验、因果关系检验，并建立了长期均衡模型和短期动态模型来分析它们之间的关系，主要结论如下：</w:t>
      </w:r>
    </w:p>
    <w:p>
      <w:pPr>
        <w:ind w:firstLine="420"/>
        <w:rPr>
          <w:rFonts w:eastAsia="Calibri"/>
          <w:szCs w:val="21"/>
        </w:rPr>
      </w:pPr>
      <w:r>
        <w:rPr>
          <w:rFonts w:eastAsia="Calibri"/>
          <w:szCs w:val="21"/>
        </w:rPr>
        <w:t>1、我国的农村公路投资、灌溉投资、电力投资和农业全要素生产率之间存在长期稳定的均衡关系，长期均衡模型的估计结果表明，长期而言灌溉投资、公路投资和电力投资各自增加一个百分点，可以促进农业全要素生产率相应增加0.658、0.180和0.033个百分点。这说明长远来看，农村公共投资应该重视灌溉、公路及电力的投资，尤其是不可忽视灌溉投资对农业生产潜力发挥的影响，灌溉投资对农业全要素生产率的长期增长贡献最大，其次是公路投资和电力投资。</w:t>
      </w:r>
    </w:p>
    <w:p>
      <w:pPr>
        <w:ind w:firstLine="420"/>
        <w:rPr>
          <w:rFonts w:eastAsia="Calibri"/>
          <w:szCs w:val="21"/>
        </w:rPr>
      </w:pPr>
      <w:r>
        <w:rPr>
          <w:rFonts w:eastAsia="Calibri"/>
          <w:szCs w:val="21"/>
        </w:rPr>
        <w:t>2、短期动态模型的研究结论表明：在短期内，农业全要素生产率可能偏离其与灌溉投资、公路投资和电力投资的均衡水平，但它们的关系从偏离状态向长期均衡状态调整的速度非常快，平均而言，上一年的非均衡误差以25.4%的比率修正短期的偏离。灌溉投资、公路投资和电力投资对农业全要素生产率的作用在短期和长期有着明显差异。在短期，灌溉投资对农业全要素生产率的影响不显著，公路投资的短期效应最强，其次是电力投资。</w:t>
      </w:r>
    </w:p>
    <w:p>
      <w:pPr>
        <w:ind w:firstLine="420"/>
        <w:rPr>
          <w:rFonts w:eastAsia="Calibri"/>
          <w:szCs w:val="21"/>
        </w:rPr>
      </w:pPr>
      <w:r>
        <w:rPr>
          <w:rFonts w:eastAsia="Calibri"/>
          <w:szCs w:val="21"/>
        </w:rPr>
        <w:t>3. 农村基础设施投资政策的制定要考虑不同类型基础设施投资对农业增长的影响机制的差异：灌溉投资对农业增长的影响是长远的，农田水利灌溉设施的建设对农业增长不一定能够达到立竿见影的效果，要加强对灌溉设施的合理利用和维护，发挥灌溉投资的长期效应；公路投资对农业增长是见效最快的，公路投资应该投向能够推动农业增长方式转型的区域；电力投资要同农业机械化电气化生产方式的转型相结合，在产业化规模化的农业生产经营方式下，电力投资才能更大程度地发挥其对农业增长的推动作用。</w:t>
      </w:r>
    </w:p>
    <w:p>
      <w:pPr>
        <w:rPr>
          <w:rFonts w:eastAsia="Calibri"/>
          <w:szCs w:val="21"/>
        </w:rPr>
      </w:pPr>
    </w:p>
    <w:p>
      <w:pPr>
        <w:jc w:val="left"/>
        <w:rPr>
          <w:rFonts w:eastAsia="黑体"/>
          <w:sz w:val="24"/>
          <w:szCs w:val="28"/>
        </w:rPr>
      </w:pPr>
      <w:r>
        <w:rPr>
          <w:rFonts w:eastAsia="黑体"/>
          <w:sz w:val="24"/>
          <w:szCs w:val="28"/>
        </w:rPr>
        <w:t>参考文献：</w:t>
      </w:r>
    </w:p>
    <w:p>
      <w:pPr>
        <w:numPr>
          <w:ilvl w:val="0"/>
          <w:numId w:val="1"/>
        </w:numPr>
        <w:ind w:left="420" w:hanging="420"/>
        <w:rPr>
          <w:rFonts w:eastAsia="Calibri"/>
          <w:szCs w:val="21"/>
        </w:rPr>
      </w:pPr>
      <w:r>
        <w:rPr>
          <w:rFonts w:eastAsia="Calibri"/>
          <w:szCs w:val="21"/>
        </w:rPr>
        <w:t>Rosenstein-Rodan, P. N, Problems of industrialization of eastern and south-eastern Europe [J]. The Economic Journal. 1943, 53 (210/211): 202-211.</w:t>
      </w:r>
    </w:p>
    <w:p>
      <w:pPr>
        <w:numPr>
          <w:ilvl w:val="0"/>
          <w:numId w:val="1"/>
        </w:numPr>
        <w:ind w:left="420" w:hanging="420"/>
        <w:rPr>
          <w:rFonts w:eastAsia="Calibri"/>
          <w:szCs w:val="21"/>
        </w:rPr>
      </w:pPr>
      <w:r>
        <w:rPr>
          <w:rFonts w:eastAsia="Calibri"/>
          <w:szCs w:val="21"/>
        </w:rPr>
        <w:t>Hirschman, A.O. – “The Strategy of Economic Development”, Yale University Press, New Haven, CT 1958.</w:t>
      </w:r>
    </w:p>
    <w:p>
      <w:pPr>
        <w:numPr>
          <w:ilvl w:val="0"/>
          <w:numId w:val="1"/>
        </w:numPr>
        <w:ind w:left="420" w:hanging="420"/>
        <w:rPr>
          <w:rFonts w:eastAsia="Calibri"/>
          <w:szCs w:val="21"/>
        </w:rPr>
      </w:pPr>
      <w:r>
        <w:rPr>
          <w:rFonts w:eastAsia="Calibri"/>
          <w:szCs w:val="21"/>
        </w:rPr>
        <w:t>Lucas, Jr, R. E. On the mechanics of economic development [J]. Journal of monetary economics. 1988, 22 (1): 3-42.</w:t>
      </w:r>
    </w:p>
    <w:p>
      <w:pPr>
        <w:numPr>
          <w:ilvl w:val="0"/>
          <w:numId w:val="1"/>
        </w:numPr>
        <w:ind w:left="420" w:hanging="420"/>
        <w:rPr>
          <w:rFonts w:eastAsia="Calibri"/>
          <w:szCs w:val="21"/>
        </w:rPr>
      </w:pPr>
      <w:r>
        <w:rPr>
          <w:rFonts w:eastAsia="Calibri"/>
          <w:szCs w:val="21"/>
        </w:rPr>
        <w:t>Barro, R. J. Notes on growth accounting. Journal of economic growth. 1999, 4 (2): 119-137</w:t>
      </w:r>
    </w:p>
    <w:p>
      <w:pPr>
        <w:numPr>
          <w:ilvl w:val="0"/>
          <w:numId w:val="1"/>
        </w:numPr>
        <w:ind w:left="420" w:hanging="420"/>
        <w:rPr>
          <w:rFonts w:eastAsia="Calibri"/>
          <w:szCs w:val="21"/>
        </w:rPr>
      </w:pPr>
      <w:r>
        <w:rPr>
          <w:rFonts w:eastAsia="Calibri"/>
          <w:szCs w:val="21"/>
        </w:rPr>
        <w:t>Fan, S. Research Investment and the Economic Returns to Chinese Agricultural Research [J]. Journal of Productivity Analysis. 2000, 14 (92): 163-180.</w:t>
      </w:r>
    </w:p>
    <w:p>
      <w:pPr>
        <w:numPr>
          <w:ilvl w:val="0"/>
          <w:numId w:val="1"/>
        </w:numPr>
        <w:ind w:left="420" w:hanging="420"/>
        <w:rPr>
          <w:rFonts w:eastAsia="Calibri"/>
          <w:szCs w:val="21"/>
        </w:rPr>
      </w:pPr>
      <w:r>
        <w:rPr>
          <w:rFonts w:eastAsia="Calibri"/>
          <w:szCs w:val="21"/>
        </w:rPr>
        <w:t>Bhalla, G. S. and Singh, G. Indian agriculture: Four decades of development. Sage Publications, New Delhi, 2001.</w:t>
      </w:r>
    </w:p>
    <w:p>
      <w:pPr>
        <w:numPr>
          <w:ilvl w:val="0"/>
          <w:numId w:val="1"/>
        </w:numPr>
        <w:ind w:left="420" w:hanging="420"/>
        <w:rPr>
          <w:rFonts w:eastAsia="Calibri"/>
          <w:szCs w:val="21"/>
        </w:rPr>
      </w:pPr>
      <w:r>
        <w:rPr>
          <w:rFonts w:eastAsia="Calibri"/>
          <w:szCs w:val="21"/>
        </w:rPr>
        <w:t>Thorat, S. and S., S. Rural infrastructure: State of Indian farmers, a millennium study, Ministry of Agriculture, Government of India, New Delhi, 2002.</w:t>
      </w:r>
    </w:p>
    <w:p>
      <w:pPr>
        <w:numPr>
          <w:ilvl w:val="0"/>
          <w:numId w:val="1"/>
        </w:numPr>
        <w:ind w:left="420" w:hanging="420"/>
        <w:rPr>
          <w:rFonts w:eastAsia="Calibri"/>
          <w:szCs w:val="21"/>
        </w:rPr>
      </w:pPr>
      <w:r>
        <w:rPr>
          <w:rFonts w:eastAsia="Calibri"/>
          <w:szCs w:val="21"/>
        </w:rPr>
        <w:t>Andersen, P. and S. Shimokowa. Rural infrastructure and agricultural development.  Paper presented at the Annual Bank Conference on Development Economics, Tokyo, Japan, 2007, May 29-30.</w:t>
      </w:r>
    </w:p>
    <w:p>
      <w:pPr>
        <w:numPr>
          <w:ilvl w:val="0"/>
          <w:numId w:val="1"/>
        </w:numPr>
        <w:ind w:left="420" w:hanging="420"/>
        <w:rPr>
          <w:rFonts w:eastAsia="Calibri"/>
          <w:szCs w:val="21"/>
        </w:rPr>
      </w:pPr>
      <w:r>
        <w:rPr>
          <w:rFonts w:eastAsia="Calibri"/>
          <w:szCs w:val="21"/>
        </w:rPr>
        <w:t>Jain, R., A. Arora, et al. A Novel Adoption Index of Selected Agricultural Technologies: Linkages with Infrastructure and Productivity [J]. Agricultural Economics Research Review, 2009, 22(1).</w:t>
      </w:r>
    </w:p>
    <w:p>
      <w:pPr>
        <w:numPr>
          <w:ilvl w:val="0"/>
          <w:numId w:val="1"/>
        </w:numPr>
        <w:ind w:left="420" w:hanging="420"/>
        <w:rPr>
          <w:rFonts w:eastAsia="Calibri"/>
          <w:szCs w:val="21"/>
        </w:rPr>
      </w:pPr>
      <w:r>
        <w:rPr>
          <w:rFonts w:eastAsia="Calibri"/>
          <w:szCs w:val="21"/>
        </w:rPr>
        <w:t>Teles, V. K. and Mussolini, C. C. Infrastructure and productivity in Latin America: Is there a relationship in the long run? [R]. TEXTO PARA DISCUSSÃO 246 2010.</w:t>
      </w:r>
    </w:p>
    <w:p>
      <w:pPr>
        <w:numPr>
          <w:ilvl w:val="0"/>
          <w:numId w:val="1"/>
        </w:numPr>
        <w:ind w:left="420" w:hanging="420"/>
        <w:rPr>
          <w:rFonts w:eastAsia="Calibri"/>
          <w:szCs w:val="21"/>
        </w:rPr>
      </w:pPr>
      <w:r>
        <w:rPr>
          <w:rFonts w:eastAsia="Calibri"/>
          <w:szCs w:val="21"/>
        </w:rPr>
        <w:t>Llanto, G. M. The Impact of Infrastructure on Agricultural Productivity, Philippine Institute for Development Studies, working paper, 2012.</w:t>
      </w:r>
    </w:p>
    <w:p>
      <w:pPr>
        <w:numPr>
          <w:ilvl w:val="0"/>
          <w:numId w:val="1"/>
        </w:numPr>
        <w:ind w:left="420" w:hanging="420"/>
        <w:rPr>
          <w:rFonts w:eastAsia="Calibri"/>
          <w:szCs w:val="21"/>
        </w:rPr>
      </w:pPr>
      <w:r>
        <w:rPr>
          <w:rFonts w:eastAsia="Calibri"/>
          <w:szCs w:val="21"/>
        </w:rPr>
        <w:t>Chaudhry, M. O., Brathen, S. &amp; Odeck, J. Assessing the Relationship between Transport Infrastructure and Agriculture Productivity in European Countries: An Application of Data Envelopment Analysis and Malmquist Index. Transportation Research Board 92nd Annual Meeting, 2013.</w:t>
      </w:r>
    </w:p>
    <w:p>
      <w:pPr>
        <w:numPr>
          <w:ilvl w:val="0"/>
          <w:numId w:val="1"/>
        </w:numPr>
        <w:ind w:left="420" w:hanging="420"/>
        <w:rPr>
          <w:rFonts w:eastAsia="Calibri"/>
          <w:szCs w:val="21"/>
        </w:rPr>
      </w:pPr>
      <w:r>
        <w:rPr>
          <w:rFonts w:eastAsia="Calibri"/>
          <w:szCs w:val="21"/>
        </w:rPr>
        <w:t>王红林, 张林秀. 农业可持续发展中公共投资作用研究——以江苏省为例. 中国软科学, 2002, (10): 21-25.</w:t>
      </w:r>
    </w:p>
    <w:p>
      <w:pPr>
        <w:numPr>
          <w:ilvl w:val="0"/>
          <w:numId w:val="1"/>
        </w:numPr>
        <w:ind w:left="420" w:hanging="420"/>
        <w:rPr>
          <w:rFonts w:eastAsia="Calibri"/>
          <w:szCs w:val="21"/>
        </w:rPr>
      </w:pPr>
      <w:r>
        <w:rPr>
          <w:rFonts w:eastAsia="Calibri"/>
          <w:szCs w:val="21"/>
        </w:rPr>
        <w:t>吕立才, 徐天祥. 公共投资与私人投资在我国农业增长中的作用及关系研究. 中央财经大学学报, 2005, (11): 51-56.</w:t>
      </w:r>
    </w:p>
    <w:p>
      <w:pPr>
        <w:numPr>
          <w:ilvl w:val="0"/>
          <w:numId w:val="1"/>
        </w:numPr>
        <w:ind w:left="420" w:hanging="420"/>
        <w:rPr>
          <w:rFonts w:eastAsia="Calibri"/>
          <w:szCs w:val="21"/>
        </w:rPr>
      </w:pPr>
      <w:r>
        <w:rPr>
          <w:rFonts w:eastAsia="Calibri"/>
          <w:szCs w:val="21"/>
        </w:rPr>
        <w:t>Wang, W., Zhang, H. &amp; Tong, G. Empirical Analysis of Effect of Rural Infrastructure Construction on Agricultural Economy Growth. Springer, 2013: 611-618.</w:t>
      </w:r>
    </w:p>
    <w:p>
      <w:pPr>
        <w:numPr>
          <w:ilvl w:val="0"/>
          <w:numId w:val="1"/>
        </w:numPr>
        <w:ind w:left="420" w:hanging="420"/>
        <w:rPr>
          <w:rFonts w:eastAsia="Calibri"/>
          <w:szCs w:val="21"/>
        </w:rPr>
      </w:pPr>
      <w:r>
        <w:rPr>
          <w:rFonts w:eastAsia="Calibri"/>
          <w:szCs w:val="21"/>
        </w:rPr>
        <w:t>王君萍，阮锋儿. 政府公共支出、经济增长与西部农村建设投资关系实证分析[J].中国农业经济问题，2009, (1)：13-18.</w:t>
      </w:r>
    </w:p>
    <w:p>
      <w:pPr>
        <w:numPr>
          <w:ilvl w:val="0"/>
          <w:numId w:val="1"/>
        </w:numPr>
        <w:ind w:left="420" w:hanging="420"/>
        <w:rPr>
          <w:rFonts w:eastAsia="Calibri"/>
          <w:szCs w:val="21"/>
        </w:rPr>
      </w:pPr>
      <w:r>
        <w:rPr>
          <w:rFonts w:eastAsia="Calibri"/>
          <w:szCs w:val="21"/>
        </w:rPr>
        <w:t>姜涛.农村基础设施公共投资与农业增长——基于省际面板数据的例证[J]. 经济与管理, 2012, (07)：24-28.</w:t>
      </w:r>
    </w:p>
    <w:p>
      <w:pPr>
        <w:numPr>
          <w:ilvl w:val="0"/>
          <w:numId w:val="1"/>
        </w:numPr>
        <w:ind w:left="420" w:hanging="420"/>
        <w:rPr>
          <w:rFonts w:eastAsia="Calibri"/>
          <w:szCs w:val="21"/>
        </w:rPr>
      </w:pPr>
      <w:r>
        <w:rPr>
          <w:rFonts w:eastAsia="Calibri"/>
          <w:szCs w:val="21"/>
        </w:rPr>
        <w:t>刘正桥, 张亚斌. 中国交通基础设施与农村经济增长的实证研究[J]. 财经理论与实践, 2013, (03): 98-102.</w:t>
      </w:r>
    </w:p>
    <w:p>
      <w:pPr>
        <w:numPr>
          <w:ilvl w:val="0"/>
          <w:numId w:val="1"/>
        </w:numPr>
        <w:ind w:left="420" w:hanging="420"/>
        <w:rPr>
          <w:rFonts w:eastAsia="Calibri"/>
          <w:szCs w:val="21"/>
        </w:rPr>
      </w:pPr>
      <w:r>
        <w:rPr>
          <w:rFonts w:eastAsia="Calibri"/>
          <w:szCs w:val="21"/>
        </w:rPr>
        <w:t>Lin, J. Y. Rural Reforms and Agricultural Growth in China [J]. American Economic Review. 1992, 82 (March): 34-51.</w:t>
      </w:r>
    </w:p>
    <w:p>
      <w:pPr>
        <w:numPr>
          <w:ilvl w:val="0"/>
          <w:numId w:val="1"/>
        </w:numPr>
        <w:ind w:left="420" w:hanging="420"/>
        <w:rPr>
          <w:rFonts w:eastAsia="Calibri"/>
          <w:szCs w:val="21"/>
        </w:rPr>
      </w:pPr>
      <w:r>
        <w:rPr>
          <w:rFonts w:eastAsia="Calibri"/>
          <w:szCs w:val="21"/>
        </w:rPr>
        <w:t>Coelli, T. J. &amp; Rao, D. S. P. Total Factor Productivity Growth in Agriculture: A Malmquist Index Analysis of 93 Countries, 1980-2000, Centre for Efficiency and Productivity Analysis Working Paper Series No. 02/2003</w:t>
      </w:r>
    </w:p>
    <w:p>
      <w:pPr>
        <w:numPr>
          <w:ilvl w:val="0"/>
          <w:numId w:val="1"/>
        </w:numPr>
        <w:ind w:left="420" w:hanging="420"/>
        <w:rPr>
          <w:rFonts w:eastAsia="Calibri"/>
          <w:szCs w:val="21"/>
        </w:rPr>
      </w:pPr>
      <w:r>
        <w:rPr>
          <w:rFonts w:eastAsia="Calibri"/>
          <w:szCs w:val="21"/>
        </w:rPr>
        <w:t>Hsu, S.-H., Yu, M.-M. &amp; Chang, C.-C. An Analysis of Total Factor Productivity Growth In China's Agricultural Sector. 2003.</w:t>
      </w:r>
    </w:p>
    <w:p>
      <w:pPr>
        <w:numPr>
          <w:ilvl w:val="0"/>
          <w:numId w:val="1"/>
        </w:numPr>
        <w:ind w:left="420" w:hanging="420"/>
        <w:jc w:val="left"/>
        <w:rPr>
          <w:rFonts w:eastAsia="楷体"/>
          <w:szCs w:val="21"/>
        </w:rPr>
      </w:pPr>
      <w:r>
        <w:rPr>
          <w:rFonts w:eastAsia="Calibri"/>
          <w:szCs w:val="21"/>
        </w:rPr>
        <w:t xml:space="preserve">汪小勤, 姜涛.基于农业公共投资视角的中国农业技术效率分析[J]. 中国农村经济, 2009,  (5): 79-86. </w:t>
      </w:r>
    </w:p>
    <w:p>
      <w:pPr>
        <w:ind w:left="420" w:firstLine="0"/>
        <w:jc w:val="left"/>
        <w:rPr>
          <w:rFonts w:eastAsia="Calibri"/>
          <w:szCs w:val="21"/>
        </w:rPr>
      </w:pPr>
    </w:p>
    <w:p>
      <w:pPr>
        <w:jc w:val="center"/>
        <w:rPr>
          <w:sz w:val="28"/>
          <w:szCs w:val="28"/>
        </w:rPr>
      </w:pPr>
    </w:p>
    <w:p>
      <w:pPr>
        <w:jc w:val="center"/>
        <w:rPr>
          <w:sz w:val="24"/>
          <w:szCs w:val="28"/>
        </w:rPr>
      </w:pPr>
      <w:r>
        <w:rPr>
          <w:sz w:val="24"/>
          <w:szCs w:val="28"/>
        </w:rPr>
        <w:t>Research on the Long-term Equilibrium and Short-term Dynamic Relationshipbetween Rural Infrastructure Investment and Agricultural Total Factor Productivity：Based on the Provincial Panel Data of China from 1985 to 2011</w:t>
      </w:r>
    </w:p>
    <w:p>
      <w:pPr>
        <w:jc w:val="center"/>
        <w:rPr>
          <w:sz w:val="24"/>
          <w:szCs w:val="28"/>
        </w:rPr>
      </w:pPr>
      <w:r>
        <w:rPr>
          <w:sz w:val="24"/>
          <w:szCs w:val="28"/>
        </w:rPr>
        <w:t>Li Zongzhang Ma Yanan</w:t>
      </w:r>
    </w:p>
    <w:p>
      <w:pPr>
        <w:jc w:val="center"/>
        <w:rPr>
          <w:i/>
          <w:sz w:val="22"/>
          <w:szCs w:val="28"/>
        </w:rPr>
      </w:pPr>
      <w:r>
        <w:rPr>
          <w:i/>
          <w:sz w:val="22"/>
          <w:szCs w:val="28"/>
        </w:rPr>
        <w:t>(College of Economics &amp; Management, South China Agricultural University, Guangzhou, 510642, China)</w:t>
      </w:r>
    </w:p>
    <w:p>
      <w:pPr>
        <w:rPr>
          <w:sz w:val="22"/>
        </w:rPr>
      </w:pPr>
      <w:r>
        <w:rPr>
          <w:b/>
          <w:sz w:val="22"/>
        </w:rPr>
        <w:t xml:space="preserve">Abstract: </w:t>
      </w:r>
      <w:r>
        <w:rPr>
          <w:sz w:val="22"/>
        </w:rPr>
        <w:t xml:space="preserve">This paper establishes long-term equilibrium model and short-term dynamic model to study the relationship between rural infrastructure and agricultural total factor productivity in China during 1985 to 2011. The over empirical results indicate there is long-term equilibrium between road, irrigation and power investment between agricultural TFP. In the long-run, the elasticity effect of irrigation investment on agricultural TFP is the largest, secondly is road investment, and thirdly is power investment. As to the short-run, the correction speed from short-term fluctuation to long-term equilibrium is very quick, and the contribution of road investment on agricultural TFP is the most obvious. </w:t>
      </w:r>
    </w:p>
    <w:p>
      <w:pPr>
        <w:rPr>
          <w:sz w:val="22"/>
        </w:rPr>
      </w:pPr>
      <w:r>
        <w:rPr>
          <w:sz w:val="22"/>
        </w:rPr>
        <w:t>Keywords: rural infrastructure investment agricultural TFP long-term equilibrium short-term fluctuation</w:t>
      </w:r>
    </w:p>
    <w:p>
      <w:pPr>
        <w:ind w:left="420" w:firstLine="0"/>
        <w:jc w:val="left"/>
        <w:rPr>
          <w:rFonts w:eastAsia="楷体"/>
          <w:szCs w:val="21"/>
        </w:rPr>
      </w:pPr>
    </w:p>
    <w:sectPr>
      <w:footnotePr>
        <w:numFmt w:val="decimal"/>
      </w:footnotePr>
      <w:endnotePr>
        <w:numFmt w:val="decimal"/>
      </w:endnotePr>
      <w:type w:val="continuous"/>
      <w:pgSz w:w="11906" w:h="16838"/>
      <w:pgMar w:top="1440" w:right="1800" w:bottom="1440" w:left="1800" w:header="720" w:footer="720" w:gutter="0"/>
      <w:paperSr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footnote>
  <w:footnote w:id="1">
    <w:p>
      <w:pPr>
        <w:rPr>
          <w:rFonts w:ascii="Calibri" w:hAnsi="Calibri" w:eastAsia="Calibri"/>
          <w:sz w:val="18"/>
          <w:szCs w:val="18"/>
        </w:rPr>
      </w:pPr>
      <w:r>
        <w:rPr>
          <w:rFonts w:ascii="Calibri" w:hAnsi="Calibri" w:eastAsia="Calibri"/>
          <w:sz w:val="18"/>
          <w:szCs w:val="18"/>
        </w:rPr>
        <w:footnoteRef/>
      </w:r>
      <w:r>
        <w:rPr>
          <w:rFonts w:ascii="Calibri" w:hAnsi="Calibri" w:eastAsia="Calibri"/>
          <w:sz w:val="18"/>
          <w:szCs w:val="18"/>
        </w:rPr>
        <w:t>为了保证不同行政区域数据的可比性，根据国家行政区划的调整</w:t>
      </w:r>
      <w:r>
        <w:rPr>
          <w:rFonts w:hint="eastAsia" w:ascii="Calibri" w:hAnsi="Calibri" w:eastAsia="Calibri"/>
          <w:sz w:val="18"/>
          <w:szCs w:val="18"/>
        </w:rPr>
        <w:t>，</w:t>
      </w:r>
      <w:r>
        <w:rPr>
          <w:rFonts w:ascii="Calibri" w:hAnsi="Calibri" w:eastAsia="Calibri"/>
          <w:sz w:val="18"/>
          <w:szCs w:val="18"/>
        </w:rPr>
        <w:t>将统计年鉴中1985-1988年广东省包括了海南，利用插值法分离出海南省的各项指标，将1998年以后重庆市的数据并入四川省。研究样本包括3个直辖市，5个自治区，22个省</w:t>
      </w:r>
      <w:r>
        <w:rPr>
          <w:rFonts w:hint="eastAsia" w:ascii="Calibri" w:hAnsi="Calibri" w:eastAsia="Calibri"/>
          <w:sz w:val="18"/>
          <w:szCs w:val="18"/>
        </w:rPr>
        <w:t>，</w:t>
      </w:r>
      <w:r>
        <w:rPr>
          <w:rFonts w:ascii="Calibri" w:hAnsi="Calibri" w:eastAsia="Calibri"/>
          <w:sz w:val="18"/>
          <w:szCs w:val="18"/>
        </w:rPr>
        <w:t>总计30个省区</w:t>
      </w:r>
      <w:r>
        <w:rPr>
          <w:rFonts w:hint="eastAsia" w:ascii="Calibri" w:hAnsi="Calibri" w:eastAsia="Calibri"/>
          <w:sz w:val="18"/>
          <w:szCs w:val="18"/>
        </w:rPr>
        <w:t>。</w:t>
      </w:r>
    </w:p>
  </w:footnote>
  <w:footnote w:id="2">
    <w:p>
      <w:pPr>
        <w:rPr>
          <w:rFonts w:ascii="Calibri" w:hAnsi="Calibri" w:eastAsia="Calibri"/>
        </w:rPr>
      </w:pPr>
      <w:r>
        <w:rPr>
          <w:rFonts w:ascii="Calibri" w:hAnsi="Calibri" w:eastAsia="Calibri"/>
        </w:rPr>
        <w:footnoteRef/>
      </w:r>
      <w:r>
        <w:rPr>
          <w:rFonts w:ascii="Calibri" w:hAnsi="Calibri" w:eastAsia="Calibri"/>
        </w:rPr>
        <w:t>根据</w:t>
      </w:r>
      <w:r>
        <w:rPr>
          <w:rFonts w:eastAsia="Calibri"/>
        </w:rPr>
        <w:t>Coelli</w:t>
      </w:r>
      <w:r>
        <w:rPr>
          <w:rFonts w:hint="eastAsia" w:eastAsia="Calibri"/>
        </w:rPr>
        <w:t>和</w:t>
      </w:r>
      <w:r>
        <w:rPr>
          <w:rFonts w:eastAsia="Calibri"/>
        </w:rPr>
        <w:t>Rao (2003)</w:t>
      </w:r>
      <w:r>
        <w:rPr>
          <w:rFonts w:hint="eastAsia" w:ascii="Calibri" w:hAnsi="Calibri" w:eastAsia="Calibri"/>
          <w:szCs w:val="21"/>
          <w:vertAlign w:val="superscript"/>
        </w:rPr>
        <w:t>[20]</w:t>
      </w:r>
      <w:r>
        <w:rPr>
          <w:rFonts w:eastAsia="Calibri"/>
        </w:rPr>
        <w:t>的</w:t>
      </w:r>
      <w:r>
        <w:rPr>
          <w:rFonts w:ascii="Calibri" w:hAnsi="Calibri" w:eastAsia="Calibri"/>
        </w:rPr>
        <w:t>建议对跨越年份较长的序列进行研究时，最好采用跨越时期的中间时点的不变价格对以价值单位计量的序列进行缩减</w:t>
      </w:r>
      <w:r>
        <w:rPr>
          <w:rFonts w:hint="eastAsia" w:ascii="Calibri" w:hAnsi="Calibri" w:eastAsia="Calibri"/>
        </w:rPr>
        <w:t>，</w:t>
      </w:r>
      <w:r>
        <w:rPr>
          <w:rFonts w:ascii="Calibri" w:hAnsi="Calibri" w:eastAsia="Calibri"/>
        </w:rPr>
        <w:t>本研究的时间跨度为1985-20</w:t>
      </w:r>
      <w:r>
        <w:rPr>
          <w:rFonts w:hint="eastAsia" w:ascii="Calibri" w:hAnsi="Calibri" w:eastAsia="Calibri"/>
        </w:rPr>
        <w:t>11</w:t>
      </w:r>
      <w:r>
        <w:rPr>
          <w:rFonts w:ascii="Calibri" w:hAnsi="Calibri" w:eastAsia="Calibri"/>
        </w:rPr>
        <w:t>年，</w:t>
      </w:r>
      <w:r>
        <w:rPr>
          <w:rFonts w:hint="eastAsia" w:ascii="Calibri" w:hAnsi="Calibri" w:eastAsia="Calibri"/>
        </w:rPr>
        <w:t>因此</w:t>
      </w:r>
      <w:r>
        <w:rPr>
          <w:rFonts w:ascii="Calibri" w:hAnsi="Calibri" w:eastAsia="Calibri"/>
        </w:rPr>
        <w:t>采用199</w:t>
      </w:r>
      <w:r>
        <w:rPr>
          <w:rFonts w:hint="eastAsia" w:ascii="Calibri" w:hAnsi="Calibri" w:eastAsia="Calibri"/>
        </w:rPr>
        <w:t>8</w:t>
      </w:r>
      <w:r>
        <w:rPr>
          <w:rFonts w:ascii="Calibri" w:hAnsi="Calibri" w:eastAsia="Calibri"/>
        </w:rPr>
        <w:t>年的不变价格来缩减农业总产值序列</w:t>
      </w:r>
      <w:r>
        <w:rPr>
          <w:rFonts w:hint="eastAsia" w:ascii="Calibri" w:hAnsi="Calibri" w:eastAsia="Calibri"/>
        </w:rPr>
        <w:t>。</w:t>
      </w:r>
    </w:p>
  </w:footnote>
  <w:footnote w:id="3">
    <w:p>
      <w:r>
        <w:footnoteRef/>
      </w:r>
      <w:r>
        <w:t>中华人民共和国交通部2006年第3号令《农村公路建设管理办法》第二条。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56FBE"/>
    <w:multiLevelType w:val="multilevel"/>
    <w:tmpl w:val="59E56FBE"/>
    <w:lvl w:ilvl="0" w:tentative="0">
      <w:start w:val="1"/>
      <w:numFmt w:val="decimal"/>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cumentProtection w:enforcement="0"/>
  <w:defaultTabStop w:val="420"/>
  <w:drawingGridHorizontalSpacing w:val="18546688"/>
  <w:drawingGridVerticalSpacing w:val="156"/>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23F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imes New Roman" w:hAnsi="Times New Roman" w:eastAsia="宋体" w:cs="Times New Roman"/>
      <w:kern w:val="1"/>
      <w:sz w:val="21"/>
      <w:szCs w:val="24"/>
      <w:lang w:val="en-US" w:eastAsia="zh-CN" w:bidi="ar-SA"/>
    </w:rPr>
  </w:style>
  <w:style w:type="paragraph" w:styleId="2">
    <w:name w:val="heading 1"/>
    <w:next w:val="1"/>
    <w:qFormat/>
    <w:uiPriority w:val="0"/>
    <w:pPr>
      <w:keepNext/>
      <w:keepLines/>
      <w:widowControl w:val="0"/>
      <w:jc w:val="center"/>
      <w:outlineLvl w:val="0"/>
    </w:pPr>
    <w:rPr>
      <w:rFonts w:ascii="Times New Roman" w:hAnsi="Times New Roman" w:eastAsia="黑体" w:cs="Times New Roman"/>
      <w:bCs/>
      <w:kern w:val="0"/>
      <w:sz w:val="36"/>
      <w:szCs w:val="36"/>
      <w:lang w:val="en-US" w:eastAsia="zh-CN" w:bidi="ar-SA"/>
    </w:rPr>
  </w:style>
  <w:style w:type="paragraph" w:styleId="3">
    <w:name w:val="heading 2"/>
    <w:next w:val="1"/>
    <w:qFormat/>
    <w:uiPriority w:val="0"/>
    <w:pPr>
      <w:keepNext/>
      <w:keepLines/>
      <w:widowControl w:val="0"/>
      <w:spacing w:before="260" w:after="260" w:line="415" w:lineRule="auto"/>
      <w:jc w:val="both"/>
      <w:outlineLvl w:val="1"/>
    </w:pPr>
    <w:rPr>
      <w:rFonts w:ascii="Arial" w:hAnsi="Arial" w:eastAsia="黑体" w:cs="Times New Roman"/>
      <w:b/>
      <w:bCs/>
      <w:kern w:val="1"/>
      <w:sz w:val="32"/>
      <w:szCs w:val="32"/>
      <w:lang w:val="en-US" w:eastAsia="zh-CN" w:bidi="ar-SA"/>
    </w:rPr>
  </w:style>
  <w:style w:type="paragraph" w:styleId="4">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1"/>
      <w:sz w:val="32"/>
      <w:szCs w:val="32"/>
      <w:lang w:val="en-US" w:eastAsia="zh-CN" w:bidi="ar-SA"/>
    </w:rPr>
  </w:style>
  <w:style w:type="character" w:default="1" w:styleId="11">
    <w:name w:val="Default Paragraph Font"/>
    <w:link w:val="1"/>
    <w:qFormat/>
    <w:uiPriority w:val="0"/>
    <w:rPr>
      <w:kern w:val="0"/>
      <w:sz w:val="20"/>
      <w:szCs w:val="20"/>
    </w:rPr>
  </w:style>
  <w:style w:type="table" w:default="1" w:styleId="15">
    <w:name w:val="Normal Table"/>
    <w:unhideWhenUsed/>
    <w:uiPriority w:val="99"/>
    <w:tblPr>
      <w:tblLayout w:type="fixed"/>
      <w:tblCellMar>
        <w:top w:w="0" w:type="dxa"/>
        <w:left w:w="108" w:type="dxa"/>
        <w:bottom w:w="0" w:type="dxa"/>
        <w:right w:w="108" w:type="dxa"/>
      </w:tblCellMar>
    </w:tblPr>
  </w:style>
  <w:style w:type="paragraph" w:styleId="5">
    <w:name w:val="caption"/>
    <w:next w:val="1"/>
    <w:qFormat/>
    <w:uiPriority w:val="0"/>
    <w:pPr>
      <w:widowControl w:val="0"/>
      <w:jc w:val="both"/>
    </w:pPr>
    <w:rPr>
      <w:rFonts w:ascii="Arial" w:hAnsi="Arial" w:eastAsia="黑体" w:cs="Arial"/>
      <w:kern w:val="1"/>
      <w:sz w:val="20"/>
      <w:szCs w:val="20"/>
      <w:lang w:val="en-US" w:eastAsia="zh-CN" w:bidi="ar-SA"/>
    </w:rPr>
  </w:style>
  <w:style w:type="paragraph" w:styleId="6">
    <w:name w:val="endnote text"/>
    <w:qFormat/>
    <w:uiPriority w:val="0"/>
    <w:pPr>
      <w:widowControl w:val="0"/>
      <w:jc w:val="left"/>
    </w:pPr>
    <w:rPr>
      <w:rFonts w:ascii="Times New Roman" w:hAnsi="Times New Roman" w:eastAsia="宋体" w:cs="Times New Roman"/>
      <w:kern w:val="1"/>
      <w:sz w:val="21"/>
      <w:szCs w:val="24"/>
      <w:lang w:val="en-US" w:eastAsia="zh-CN" w:bidi="ar-SA"/>
    </w:rPr>
  </w:style>
  <w:style w:type="paragraph" w:styleId="7">
    <w:name w:val="Balloon Text"/>
    <w:qFormat/>
    <w:uiPriority w:val="0"/>
    <w:pPr>
      <w:widowControl w:val="0"/>
      <w:jc w:val="both"/>
    </w:pPr>
    <w:rPr>
      <w:rFonts w:ascii="Times New Roman" w:hAnsi="Times New Roman" w:eastAsia="宋体" w:cs="Times New Roman"/>
      <w:kern w:val="1"/>
      <w:sz w:val="18"/>
      <w:szCs w:val="18"/>
      <w:lang w:val="en-US" w:eastAsia="zh-CN" w:bidi="ar-SA"/>
    </w:rPr>
  </w:style>
  <w:style w:type="paragraph" w:styleId="8">
    <w:name w:val="footer"/>
    <w:qFormat/>
    <w:uiPriority w:val="0"/>
    <w:pPr>
      <w:widowControl w:val="0"/>
      <w:jc w:val="left"/>
    </w:pPr>
    <w:rPr>
      <w:rFonts w:ascii="Times New Roman" w:hAnsi="Times New Roman" w:eastAsia="宋体" w:cs="Times New Roman"/>
      <w:kern w:val="1"/>
      <w:sz w:val="18"/>
      <w:szCs w:val="18"/>
      <w:lang w:val="en-US" w:eastAsia="zh-CN" w:bidi="ar-SA"/>
    </w:rPr>
  </w:style>
  <w:style w:type="paragraph" w:styleId="9">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shd w:val="solid"/>
      <w:jc w:val="center"/>
    </w:pPr>
    <w:rPr>
      <w:rFonts w:ascii="Times New Roman" w:hAnsi="Times New Roman" w:eastAsia="宋体" w:cs="Times New Roman"/>
      <w:kern w:val="1"/>
      <w:sz w:val="18"/>
      <w:szCs w:val="18"/>
      <w:lang w:val="en-US" w:eastAsia="zh-CN" w:bidi="ar-SA"/>
    </w:rPr>
  </w:style>
  <w:style w:type="paragraph" w:styleId="10">
    <w:name w:val="footnote text"/>
    <w:qFormat/>
    <w:uiPriority w:val="0"/>
    <w:pPr>
      <w:widowControl w:val="0"/>
      <w:jc w:val="left"/>
    </w:pPr>
    <w:rPr>
      <w:rFonts w:ascii="Times New Roman" w:hAnsi="Times New Roman" w:eastAsia="宋体" w:cs="Times New Roman"/>
      <w:kern w:val="1"/>
      <w:sz w:val="18"/>
      <w:szCs w:val="18"/>
      <w:lang w:val="en-US" w:eastAsia="zh-CN" w:bidi="ar-SA"/>
    </w:rPr>
  </w:style>
  <w:style w:type="character" w:styleId="12">
    <w:name w:val="endnote reference"/>
    <w:link w:val="1"/>
    <w:qFormat/>
    <w:uiPriority w:val="0"/>
    <w:rPr>
      <w:kern w:val="0"/>
      <w:sz w:val="20"/>
      <w:szCs w:val="20"/>
      <w:vertAlign w:val="superscript"/>
    </w:rPr>
  </w:style>
  <w:style w:type="character" w:styleId="13">
    <w:name w:val="Hyperlink"/>
    <w:link w:val="1"/>
    <w:qFormat/>
    <w:uiPriority w:val="0"/>
    <w:rPr>
      <w:color w:val="0000FF"/>
      <w:u w:val="single" w:color="auto"/>
    </w:rPr>
  </w:style>
  <w:style w:type="character" w:styleId="14">
    <w:name w:val="footnote reference"/>
    <w:link w:val="1"/>
    <w:qFormat/>
    <w:uiPriority w:val="0"/>
    <w:rPr>
      <w:kern w:val="0"/>
      <w:sz w:val="20"/>
      <w:szCs w:val="20"/>
      <w:vertAlign w:val="superscript"/>
    </w:rPr>
  </w:style>
  <w:style w:type="paragraph" w:customStyle="1" w:styleId="16">
    <w:name w:val="reader-word-layer reader-word-s4-7"/>
    <w:qFormat/>
    <w:uiPriority w:val="0"/>
    <w:pPr>
      <w:widowControl/>
      <w:spacing w:before="100" w:beforeAutospacing="1" w:after="100" w:afterAutospacing="1"/>
      <w:jc w:val="left"/>
    </w:pPr>
    <w:rPr>
      <w:rFonts w:ascii="宋体" w:hAnsi="宋体" w:eastAsia="宋体" w:cs="宋体"/>
      <w:kern w:val="1"/>
      <w:sz w:val="24"/>
      <w:szCs w:val="24"/>
      <w:lang w:val="en-US" w:eastAsia="zh-CN" w:bidi="ar-SA"/>
    </w:rPr>
  </w:style>
  <w:style w:type="paragraph" w:customStyle="1" w:styleId="17">
    <w:name w:val="List Paragraph"/>
    <w:qFormat/>
    <w:uiPriority w:val="0"/>
    <w:pPr>
      <w:widowControl w:val="0"/>
      <w:ind w:firstLine="420"/>
      <w:jc w:val="both"/>
    </w:pPr>
    <w:rPr>
      <w:rFonts w:ascii="Times New Roman" w:hAnsi="Times New Roman" w:eastAsia="宋体" w:cs="Times New Roman"/>
      <w:kern w:val="1"/>
      <w:sz w:val="21"/>
      <w:szCs w:val="24"/>
      <w:lang w:val="en-US" w:eastAsia="zh-CN" w:bidi="ar-SA"/>
    </w:rPr>
  </w:style>
  <w:style w:type="character" w:customStyle="1" w:styleId="18">
    <w:name w:val="页眉 Char"/>
    <w:link w:val="1"/>
    <w:qFormat/>
    <w:uiPriority w:val="0"/>
    <w:rPr>
      <w:sz w:val="18"/>
      <w:szCs w:val="18"/>
    </w:rPr>
  </w:style>
  <w:style w:type="character" w:customStyle="1" w:styleId="19">
    <w:name w:val="页脚 Char"/>
    <w:link w:val="1"/>
    <w:qFormat/>
    <w:uiPriority w:val="0"/>
    <w:rPr>
      <w:sz w:val="18"/>
      <w:szCs w:val="18"/>
    </w:rPr>
  </w:style>
  <w:style w:type="character" w:customStyle="1" w:styleId="20">
    <w:name w:val="批注框文本 Char"/>
    <w:link w:val="1"/>
    <w:qFormat/>
    <w:uiPriority w:val="0"/>
    <w:rPr>
      <w:kern w:val="1"/>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8.wmf"/><Relationship Id="rId40" Type="http://schemas.openxmlformats.org/officeDocument/2006/relationships/oleObject" Target="embeddings/oleObject19.bin"/><Relationship Id="rId4" Type="http://schemas.openxmlformats.org/officeDocument/2006/relationships/theme" Target="theme/theme1.xml"/><Relationship Id="rId39" Type="http://schemas.openxmlformats.org/officeDocument/2006/relationships/image" Target="media/image17.wmf"/><Relationship Id="rId38" Type="http://schemas.openxmlformats.org/officeDocument/2006/relationships/oleObject" Target="embeddings/oleObject18.bin"/><Relationship Id="rId37" Type="http://schemas.openxmlformats.org/officeDocument/2006/relationships/image" Target="media/image16.wmf"/><Relationship Id="rId36" Type="http://schemas.openxmlformats.org/officeDocument/2006/relationships/oleObject" Target="embeddings/oleObject17.bin"/><Relationship Id="rId35" Type="http://schemas.openxmlformats.org/officeDocument/2006/relationships/image" Target="media/image15.wmf"/><Relationship Id="rId34" Type="http://schemas.openxmlformats.org/officeDocument/2006/relationships/oleObject" Target="embeddings/oleObject16.bin"/><Relationship Id="rId33" Type="http://schemas.openxmlformats.org/officeDocument/2006/relationships/image" Target="media/image14.wmf"/><Relationship Id="rId32" Type="http://schemas.openxmlformats.org/officeDocument/2006/relationships/oleObject" Target="embeddings/oleObject15.bin"/><Relationship Id="rId31" Type="http://schemas.openxmlformats.org/officeDocument/2006/relationships/image" Target="media/image13.wmf"/><Relationship Id="rId30" Type="http://schemas.openxmlformats.org/officeDocument/2006/relationships/oleObject" Target="embeddings/oleObject14.bin"/><Relationship Id="rId3" Type="http://schemas.openxmlformats.org/officeDocument/2006/relationships/footnotes" Target="footnotes.xml"/><Relationship Id="rId29" Type="http://schemas.openxmlformats.org/officeDocument/2006/relationships/image" Target="media/image12.wmf"/><Relationship Id="rId28" Type="http://schemas.openxmlformats.org/officeDocument/2006/relationships/oleObject" Target="embeddings/oleObject13.bin"/><Relationship Id="rId27" Type="http://schemas.openxmlformats.org/officeDocument/2006/relationships/image" Target="media/image11.wmf"/><Relationship Id="rId26" Type="http://schemas.openxmlformats.org/officeDocument/2006/relationships/oleObject" Target="embeddings/oleObject12.bin"/><Relationship Id="rId25" Type="http://schemas.openxmlformats.org/officeDocument/2006/relationships/image" Target="media/image10.wmf"/><Relationship Id="rId24" Type="http://schemas.openxmlformats.org/officeDocument/2006/relationships/oleObject" Target="embeddings/oleObject11.bin"/><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黑体"/>
        <a:cs typeface="Times New Roman"/>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Office_10.1.0.6875_F1E327BC-269C-435d-A152-05C5408002CA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2016-10-14T02:17:00Z</dcterms:created>
  <dc:creator>zong</dc:creator>
  <cp:lastModifiedBy>Administrator</cp:lastModifiedBy>
  <dcterms:modified xsi:type="dcterms:W3CDTF">2017-10-17T03:46:41Z</dcterms:modified>
  <dc:title>农村基础设施投资对农业全要素生产率的影响的实证研究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