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D5" w:rsidRDefault="006F3A42">
      <w:pPr>
        <w:pStyle w:val="1"/>
      </w:pPr>
      <w:r>
        <w:rPr>
          <w:rFonts w:ascii="Arial" w:eastAsia="宋体" w:hAnsi="Arial" w:cs="Arial"/>
          <w:b w:val="0"/>
          <w:color w:val="000000"/>
          <w:sz w:val="21"/>
          <w:szCs w:val="21"/>
        </w:rPr>
        <w:t> </w:t>
      </w:r>
      <w:bookmarkStart w:id="0" w:name="_GoBack"/>
      <w:bookmarkEnd w:id="0"/>
    </w:p>
    <w:p w:rsidR="00950AD5" w:rsidRDefault="006F3A42">
      <w:pPr>
        <w:pStyle w:val="1"/>
        <w:rPr>
          <w:rFonts w:hAnsiTheme="minorEastAsia"/>
        </w:rPr>
      </w:pPr>
      <w:r>
        <w:rPr>
          <w:rFonts w:hint="eastAsia"/>
        </w:rPr>
        <w:t>股市剧烈波动中券商违规事件的公司治理分析</w:t>
      </w:r>
    </w:p>
    <w:p w:rsidR="00950AD5" w:rsidRDefault="006F3A42">
      <w:pPr>
        <w:jc w:val="center"/>
        <w:rPr>
          <w:rFonts w:asciiTheme="minorEastAsia" w:hAnsiTheme="minorEastAsia"/>
          <w:sz w:val="21"/>
          <w:szCs w:val="21"/>
        </w:rPr>
      </w:pPr>
      <w:r>
        <w:rPr>
          <w:rFonts w:asciiTheme="minorEastAsia" w:hAnsiTheme="minorEastAsia" w:hint="eastAsia"/>
          <w:sz w:val="21"/>
          <w:szCs w:val="21"/>
        </w:rPr>
        <w:t>齐岳</w:t>
      </w:r>
      <w:r>
        <w:rPr>
          <w:rFonts w:asciiTheme="minorEastAsia" w:hAnsiTheme="minorEastAsia" w:hint="eastAsia"/>
          <w:sz w:val="21"/>
          <w:szCs w:val="21"/>
          <w:vertAlign w:val="superscript"/>
        </w:rPr>
        <w:t>1</w:t>
      </w:r>
      <w:r>
        <w:rPr>
          <w:rFonts w:asciiTheme="minorEastAsia" w:hAnsiTheme="minorEastAsia" w:hint="eastAsia"/>
          <w:sz w:val="21"/>
          <w:szCs w:val="21"/>
          <w:vertAlign w:val="superscript"/>
        </w:rPr>
        <w:t>，</w:t>
      </w:r>
      <w:r>
        <w:rPr>
          <w:rFonts w:asciiTheme="minorEastAsia" w:hAnsiTheme="minorEastAsia" w:hint="eastAsia"/>
          <w:sz w:val="21"/>
          <w:szCs w:val="21"/>
          <w:vertAlign w:val="superscript"/>
        </w:rPr>
        <w:t>2</w:t>
      </w:r>
      <w:r>
        <w:rPr>
          <w:rFonts w:asciiTheme="minorEastAsia" w:hAnsiTheme="minorEastAsia" w:hint="eastAsia"/>
          <w:sz w:val="21"/>
          <w:szCs w:val="21"/>
        </w:rPr>
        <w:t>，刘彤阳</w:t>
      </w:r>
      <w:r>
        <w:rPr>
          <w:rFonts w:asciiTheme="minorEastAsia" w:hAnsiTheme="minorEastAsia" w:hint="eastAsia"/>
          <w:sz w:val="21"/>
          <w:szCs w:val="21"/>
          <w:vertAlign w:val="superscript"/>
        </w:rPr>
        <w:t>2</w:t>
      </w:r>
      <w:r>
        <w:rPr>
          <w:rFonts w:asciiTheme="minorEastAsia" w:hAnsiTheme="minorEastAsia" w:hint="eastAsia"/>
          <w:sz w:val="21"/>
          <w:szCs w:val="21"/>
        </w:rPr>
        <w:t>，郭怡群</w:t>
      </w:r>
      <w:r>
        <w:rPr>
          <w:rFonts w:asciiTheme="minorEastAsia" w:hAnsiTheme="minorEastAsia" w:hint="eastAsia"/>
          <w:sz w:val="21"/>
          <w:szCs w:val="21"/>
          <w:vertAlign w:val="superscript"/>
        </w:rPr>
        <w:t>2</w:t>
      </w:r>
    </w:p>
    <w:p w:rsidR="00950AD5" w:rsidRDefault="006F3A42">
      <w:pPr>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1.</w:t>
      </w:r>
      <w:r>
        <w:rPr>
          <w:rFonts w:asciiTheme="minorEastAsia" w:hAnsiTheme="minorEastAsia" w:hint="eastAsia"/>
          <w:sz w:val="21"/>
          <w:szCs w:val="21"/>
        </w:rPr>
        <w:t>南开大学</w:t>
      </w:r>
      <w:r>
        <w:rPr>
          <w:rFonts w:asciiTheme="minorEastAsia" w:hAnsiTheme="minorEastAsia" w:hint="eastAsia"/>
          <w:sz w:val="21"/>
          <w:szCs w:val="21"/>
        </w:rPr>
        <w:t xml:space="preserve"> </w:t>
      </w:r>
      <w:r>
        <w:rPr>
          <w:rFonts w:asciiTheme="minorEastAsia" w:hAnsiTheme="minorEastAsia" w:hint="eastAsia"/>
          <w:sz w:val="21"/>
          <w:szCs w:val="21"/>
        </w:rPr>
        <w:t>中国公司治理研究院，天津</w:t>
      </w:r>
      <w:r>
        <w:rPr>
          <w:rFonts w:asciiTheme="minorEastAsia" w:hAnsiTheme="minorEastAsia" w:hint="eastAsia"/>
          <w:sz w:val="21"/>
          <w:szCs w:val="21"/>
        </w:rPr>
        <w:t xml:space="preserve"> 300071</w:t>
      </w:r>
      <w:r>
        <w:rPr>
          <w:rFonts w:asciiTheme="minorEastAsia" w:hAnsiTheme="minorEastAsia" w:hint="eastAsia"/>
          <w:sz w:val="21"/>
          <w:szCs w:val="21"/>
        </w:rPr>
        <w:t>；</w:t>
      </w:r>
      <w:r>
        <w:rPr>
          <w:rFonts w:asciiTheme="minorEastAsia" w:hAnsiTheme="minorEastAsia" w:hint="eastAsia"/>
          <w:sz w:val="21"/>
          <w:szCs w:val="21"/>
        </w:rPr>
        <w:t>2.</w:t>
      </w:r>
      <w:r>
        <w:rPr>
          <w:rFonts w:asciiTheme="minorEastAsia" w:hAnsiTheme="minorEastAsia" w:hint="eastAsia"/>
          <w:sz w:val="21"/>
          <w:szCs w:val="21"/>
        </w:rPr>
        <w:t>南开大学</w:t>
      </w:r>
      <w:r>
        <w:rPr>
          <w:rFonts w:asciiTheme="minorEastAsia" w:hAnsiTheme="minorEastAsia" w:hint="eastAsia"/>
          <w:sz w:val="21"/>
          <w:szCs w:val="21"/>
        </w:rPr>
        <w:t xml:space="preserve"> </w:t>
      </w:r>
      <w:r>
        <w:rPr>
          <w:rFonts w:asciiTheme="minorEastAsia" w:hAnsiTheme="minorEastAsia" w:hint="eastAsia"/>
          <w:sz w:val="21"/>
          <w:szCs w:val="21"/>
        </w:rPr>
        <w:t>商学院，天津</w:t>
      </w:r>
      <w:r>
        <w:rPr>
          <w:rFonts w:asciiTheme="minorEastAsia" w:hAnsiTheme="minorEastAsia" w:hint="eastAsia"/>
          <w:sz w:val="21"/>
          <w:szCs w:val="21"/>
        </w:rPr>
        <w:t xml:space="preserve"> 300071</w:t>
      </w:r>
      <w:r>
        <w:rPr>
          <w:rFonts w:asciiTheme="minorEastAsia" w:hAnsiTheme="minorEastAsia" w:hint="eastAsia"/>
          <w:sz w:val="21"/>
          <w:szCs w:val="21"/>
        </w:rPr>
        <w:t>）</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摘要：</w:t>
      </w:r>
      <w:r>
        <w:rPr>
          <w:rFonts w:asciiTheme="minorEastAsia" w:hAnsiTheme="minorEastAsia" w:hint="eastAsia"/>
          <w:sz w:val="21"/>
          <w:szCs w:val="21"/>
        </w:rPr>
        <w:t>2014</w:t>
      </w:r>
      <w:r>
        <w:rPr>
          <w:rFonts w:asciiTheme="minorEastAsia" w:hAnsiTheme="minorEastAsia" w:hint="eastAsia"/>
          <w:sz w:val="21"/>
          <w:szCs w:val="21"/>
        </w:rPr>
        <w:t>年</w:t>
      </w:r>
      <w:r>
        <w:rPr>
          <w:rFonts w:asciiTheme="minorEastAsia" w:hAnsiTheme="minorEastAsia" w:hint="eastAsia"/>
          <w:sz w:val="21"/>
          <w:szCs w:val="21"/>
        </w:rPr>
        <w:t>7</w:t>
      </w:r>
      <w:r>
        <w:rPr>
          <w:rFonts w:asciiTheme="minorEastAsia" w:hAnsiTheme="minorEastAsia" w:hint="eastAsia"/>
          <w:sz w:val="21"/>
          <w:szCs w:val="21"/>
        </w:rPr>
        <w:t>月至今，股市剧烈波动，券商屡次发生重大违规事件，证监会多名官员被调查，券商内、外部治理机制亟待完善。十三五规划要求积极培育健康发展的资本市场，提高金融机构治理水平和服务质量，券商在其中至关重要，而相关研究比较少。文章针对</w:t>
      </w:r>
      <w:r>
        <w:rPr>
          <w:rFonts w:asciiTheme="minorEastAsia" w:hAnsiTheme="minorEastAsia" w:hint="eastAsia"/>
          <w:sz w:val="21"/>
          <w:szCs w:val="21"/>
        </w:rPr>
        <w:t>2015</w:t>
      </w:r>
      <w:r>
        <w:rPr>
          <w:rFonts w:asciiTheme="minorEastAsia" w:hAnsiTheme="minorEastAsia" w:hint="eastAsia"/>
          <w:sz w:val="21"/>
          <w:szCs w:val="21"/>
        </w:rPr>
        <w:t>年重大券商违规事件，分析券商股在股市剧烈波动中的作用；基于公司内部、外部治理，总结分析</w:t>
      </w:r>
      <w:r>
        <w:rPr>
          <w:rFonts w:asciiTheme="minorEastAsia" w:hAnsiTheme="minorEastAsia" w:hint="eastAsia"/>
          <w:sz w:val="21"/>
          <w:szCs w:val="21"/>
        </w:rPr>
        <w:t>2015</w:t>
      </w:r>
      <w:r>
        <w:rPr>
          <w:rFonts w:asciiTheme="minorEastAsia" w:hAnsiTheme="minorEastAsia" w:hint="eastAsia"/>
          <w:sz w:val="21"/>
          <w:szCs w:val="21"/>
        </w:rPr>
        <w:t>年券商发生的违法违规事件；提出股市整合治理的新观点和成立独立于券商的第三方咨询机构的建议；最后给出在十三五规划下券商的展望。</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关键词：券商违规；公司治理；事件研究；内部治理</w:t>
      </w:r>
      <w:r>
        <w:rPr>
          <w:rFonts w:asciiTheme="minorEastAsia" w:hAnsiTheme="minorEastAsia" w:hint="eastAsia"/>
          <w:sz w:val="21"/>
          <w:szCs w:val="21"/>
        </w:rPr>
        <w:t>；外部治理</w:t>
      </w:r>
    </w:p>
    <w:p w:rsidR="00950AD5" w:rsidRDefault="00950AD5">
      <w:pPr>
        <w:ind w:firstLineChars="200" w:firstLine="420"/>
        <w:rPr>
          <w:rFonts w:asciiTheme="minorEastAsia" w:hAnsiTheme="minorEastAsia"/>
          <w:sz w:val="21"/>
          <w:szCs w:val="21"/>
        </w:rPr>
      </w:pPr>
    </w:p>
    <w:p w:rsidR="00950AD5" w:rsidRDefault="006F3A42">
      <w:pPr>
        <w:jc w:val="center"/>
        <w:rPr>
          <w:rFonts w:ascii="黑体" w:eastAsia="黑体" w:hAnsi="Calibri" w:cs="Times New Roman"/>
          <w:sz w:val="28"/>
          <w:szCs w:val="28"/>
        </w:rPr>
      </w:pPr>
      <w:r>
        <w:rPr>
          <w:rFonts w:ascii="黑体" w:eastAsia="黑体" w:hAnsi="Calibri" w:cs="Times New Roman" w:hint="eastAsia"/>
          <w:sz w:val="28"/>
          <w:szCs w:val="28"/>
        </w:rPr>
        <w:t xml:space="preserve">Corporate </w:t>
      </w:r>
      <w:r>
        <w:rPr>
          <w:rFonts w:ascii="黑体" w:eastAsia="黑体" w:hAnsi="Calibri" w:cs="Times New Roman"/>
          <w:sz w:val="28"/>
          <w:szCs w:val="28"/>
        </w:rPr>
        <w:t>G</w:t>
      </w:r>
      <w:r>
        <w:rPr>
          <w:rFonts w:ascii="黑体" w:eastAsia="黑体" w:hAnsi="Calibri" w:cs="Times New Roman" w:hint="eastAsia"/>
          <w:sz w:val="28"/>
          <w:szCs w:val="28"/>
        </w:rPr>
        <w:t xml:space="preserve">overnance </w:t>
      </w:r>
      <w:r>
        <w:rPr>
          <w:rFonts w:ascii="黑体" w:eastAsia="黑体" w:hAnsi="Calibri" w:cs="Times New Roman"/>
          <w:sz w:val="28"/>
          <w:szCs w:val="28"/>
        </w:rPr>
        <w:t>A</w:t>
      </w:r>
      <w:r>
        <w:rPr>
          <w:rFonts w:ascii="黑体" w:eastAsia="黑体" w:hAnsi="Calibri" w:cs="Times New Roman" w:hint="eastAsia"/>
          <w:sz w:val="28"/>
          <w:szCs w:val="28"/>
        </w:rPr>
        <w:t xml:space="preserve">nalysis of </w:t>
      </w:r>
      <w:r>
        <w:rPr>
          <w:rFonts w:ascii="黑体" w:eastAsia="黑体" w:hAnsi="Calibri" w:cs="Times New Roman"/>
          <w:sz w:val="28"/>
          <w:szCs w:val="28"/>
        </w:rPr>
        <w:t>Brokerage House Scandals</w:t>
      </w:r>
      <w:r>
        <w:rPr>
          <w:rFonts w:ascii="黑体" w:eastAsia="黑体" w:hAnsi="Calibri" w:cs="Times New Roman" w:hint="eastAsia"/>
          <w:sz w:val="28"/>
          <w:szCs w:val="28"/>
        </w:rPr>
        <w:t xml:space="preserve"> in</w:t>
      </w:r>
      <w:r>
        <w:rPr>
          <w:rFonts w:ascii="黑体" w:eastAsia="黑体" w:hAnsi="Calibri" w:cs="Times New Roman"/>
          <w:sz w:val="28"/>
          <w:szCs w:val="28"/>
        </w:rPr>
        <w:t xml:space="preserve"> Volatile</w:t>
      </w:r>
      <w:r>
        <w:rPr>
          <w:rFonts w:ascii="黑体" w:eastAsia="黑体" w:hAnsi="Calibri" w:cs="Times New Roman" w:hint="eastAsia"/>
          <w:sz w:val="28"/>
          <w:szCs w:val="28"/>
        </w:rPr>
        <w:t xml:space="preserve"> </w:t>
      </w:r>
      <w:r>
        <w:rPr>
          <w:rFonts w:ascii="黑体" w:eastAsia="黑体" w:hAnsi="Calibri" w:cs="Times New Roman"/>
          <w:sz w:val="28"/>
          <w:szCs w:val="28"/>
        </w:rPr>
        <w:t>Stock Markets</w:t>
      </w:r>
      <w:r>
        <w:rPr>
          <w:rFonts w:ascii="黑体" w:eastAsia="黑体" w:hAnsi="Calibri" w:cs="Times New Roman" w:hint="eastAsia"/>
          <w:sz w:val="28"/>
          <w:szCs w:val="28"/>
        </w:rPr>
        <w:t xml:space="preserve"> and </w:t>
      </w:r>
      <w:r>
        <w:rPr>
          <w:rFonts w:ascii="黑体" w:eastAsia="黑体" w:hAnsi="Calibri" w:cs="Times New Roman"/>
          <w:sz w:val="28"/>
          <w:szCs w:val="28"/>
        </w:rPr>
        <w:t>Prospect</w:t>
      </w:r>
      <w:r>
        <w:rPr>
          <w:rFonts w:ascii="黑体" w:eastAsia="黑体" w:hAnsi="Calibri" w:cs="Times New Roman" w:hint="eastAsia"/>
          <w:sz w:val="28"/>
          <w:szCs w:val="28"/>
        </w:rPr>
        <w:t xml:space="preserve"> </w:t>
      </w:r>
      <w:r>
        <w:rPr>
          <w:rFonts w:ascii="黑体" w:eastAsia="黑体" w:hAnsi="Calibri" w:cs="Times New Roman"/>
          <w:sz w:val="28"/>
          <w:szCs w:val="28"/>
        </w:rPr>
        <w:t>for</w:t>
      </w:r>
      <w:r>
        <w:rPr>
          <w:rFonts w:ascii="黑体" w:eastAsia="黑体" w:hAnsi="Calibri" w:cs="Times New Roman" w:hint="eastAsia"/>
          <w:sz w:val="28"/>
          <w:szCs w:val="28"/>
        </w:rPr>
        <w:t xml:space="preserve"> </w:t>
      </w:r>
      <w:r>
        <w:rPr>
          <w:rFonts w:ascii="黑体" w:eastAsia="黑体" w:hAnsi="Calibri" w:cs="Times New Roman"/>
          <w:sz w:val="28"/>
          <w:szCs w:val="28"/>
        </w:rPr>
        <w:t xml:space="preserve">the </w:t>
      </w:r>
      <w:r>
        <w:rPr>
          <w:rFonts w:ascii="黑体" w:eastAsia="黑体" w:hAnsi="Calibri" w:cs="Times New Roman" w:hint="eastAsia"/>
          <w:sz w:val="28"/>
          <w:szCs w:val="28"/>
        </w:rPr>
        <w:t>Thirteenth Five-year Planning</w:t>
      </w:r>
    </w:p>
    <w:p w:rsidR="00950AD5" w:rsidRDefault="006F3A42">
      <w:pPr>
        <w:jc w:val="center"/>
        <w:rPr>
          <w:rFonts w:ascii="宋体" w:eastAsia="宋体" w:hAnsi="宋体" w:cs="Times New Roman"/>
          <w:sz w:val="21"/>
          <w:szCs w:val="21"/>
        </w:rPr>
      </w:pPr>
      <w:r>
        <w:rPr>
          <w:rFonts w:ascii="宋体" w:eastAsia="宋体" w:hAnsi="宋体" w:cs="Times New Roman" w:hint="eastAsia"/>
          <w:sz w:val="21"/>
          <w:szCs w:val="21"/>
        </w:rPr>
        <w:t>QI Yue</w:t>
      </w:r>
      <w:r>
        <w:rPr>
          <w:rFonts w:ascii="宋体" w:eastAsia="宋体" w:hAnsi="宋体" w:cs="Times New Roman" w:hint="eastAsia"/>
          <w:sz w:val="21"/>
          <w:szCs w:val="21"/>
          <w:vertAlign w:val="superscript"/>
        </w:rPr>
        <w:t>1,2</w:t>
      </w:r>
      <w:r>
        <w:rPr>
          <w:rFonts w:ascii="宋体" w:eastAsia="宋体" w:hAnsi="宋体" w:cs="Times New Roman" w:hint="eastAsia"/>
          <w:sz w:val="21"/>
          <w:szCs w:val="21"/>
        </w:rPr>
        <w:t xml:space="preserve">   </w:t>
      </w:r>
      <w:r>
        <w:rPr>
          <w:rFonts w:ascii="宋体" w:eastAsia="宋体" w:hAnsi="宋体" w:cs="Times New Roman"/>
          <w:sz w:val="21"/>
          <w:szCs w:val="21"/>
        </w:rPr>
        <w:tab/>
      </w:r>
      <w:r>
        <w:rPr>
          <w:rFonts w:ascii="宋体" w:eastAsia="宋体" w:hAnsi="宋体" w:cs="Times New Roman" w:hint="eastAsia"/>
          <w:sz w:val="21"/>
          <w:szCs w:val="21"/>
        </w:rPr>
        <w:t>LIU Tong-yang</w:t>
      </w:r>
      <w:r>
        <w:rPr>
          <w:rFonts w:ascii="宋体" w:eastAsia="宋体" w:hAnsi="宋体" w:cs="Times New Roman" w:hint="eastAsia"/>
          <w:sz w:val="21"/>
          <w:szCs w:val="21"/>
          <w:vertAlign w:val="superscript"/>
        </w:rPr>
        <w:t>2</w:t>
      </w:r>
      <w:r>
        <w:rPr>
          <w:rFonts w:ascii="宋体" w:eastAsia="宋体" w:hAnsi="宋体" w:cs="Times New Roman" w:hint="eastAsia"/>
          <w:sz w:val="21"/>
          <w:szCs w:val="21"/>
        </w:rPr>
        <w:t xml:space="preserve"> </w:t>
      </w:r>
      <w:r>
        <w:rPr>
          <w:rFonts w:ascii="宋体" w:eastAsia="宋体" w:hAnsi="宋体" w:cs="Times New Roman"/>
          <w:sz w:val="21"/>
          <w:szCs w:val="21"/>
        </w:rPr>
        <w:tab/>
      </w:r>
      <w:r>
        <w:rPr>
          <w:rFonts w:ascii="宋体" w:eastAsia="宋体" w:hAnsi="宋体" w:cs="Times New Roman" w:hint="eastAsia"/>
          <w:sz w:val="21"/>
          <w:szCs w:val="21"/>
        </w:rPr>
        <w:t>GUO Yi-qun</w:t>
      </w:r>
      <w:r>
        <w:rPr>
          <w:rFonts w:ascii="宋体" w:eastAsia="宋体" w:hAnsi="宋体" w:cs="Times New Roman" w:hint="eastAsia"/>
          <w:sz w:val="21"/>
          <w:szCs w:val="21"/>
          <w:vertAlign w:val="superscript"/>
        </w:rPr>
        <w:t xml:space="preserve">2 </w:t>
      </w:r>
      <w:r>
        <w:rPr>
          <w:rFonts w:ascii="宋体" w:eastAsia="宋体" w:hAnsi="宋体" w:cs="Times New Roman" w:hint="eastAsia"/>
          <w:sz w:val="21"/>
          <w:szCs w:val="21"/>
        </w:rPr>
        <w:t xml:space="preserve">   </w:t>
      </w:r>
    </w:p>
    <w:p w:rsidR="00950AD5" w:rsidRDefault="006F3A42">
      <w:pPr>
        <w:numPr>
          <w:ilvl w:val="0"/>
          <w:numId w:val="1"/>
        </w:numPr>
        <w:jc w:val="center"/>
        <w:rPr>
          <w:rFonts w:ascii="宋体" w:eastAsia="宋体" w:hAnsi="宋体" w:cs="Times New Roman"/>
          <w:i/>
          <w:sz w:val="21"/>
          <w:szCs w:val="21"/>
        </w:rPr>
      </w:pPr>
      <w:r>
        <w:rPr>
          <w:rFonts w:ascii="宋体" w:eastAsia="宋体" w:hAnsi="宋体" w:cs="Times New Roman" w:hint="eastAsia"/>
          <w:i/>
          <w:sz w:val="21"/>
          <w:szCs w:val="21"/>
        </w:rPr>
        <w:t>China Academy of Governance</w:t>
      </w:r>
      <w:r>
        <w:rPr>
          <w:rFonts w:ascii="宋体" w:eastAsia="宋体" w:hAnsi="宋体" w:cs="Times New Roman"/>
          <w:i/>
          <w:sz w:val="21"/>
          <w:szCs w:val="21"/>
        </w:rPr>
        <w:t>, Nankai University, Tianjin 300071, China</w:t>
      </w:r>
      <w:r>
        <w:rPr>
          <w:rFonts w:ascii="宋体" w:eastAsia="宋体" w:hAnsi="宋体" w:cs="Times New Roman" w:hint="eastAsia"/>
          <w:i/>
          <w:sz w:val="21"/>
          <w:szCs w:val="21"/>
        </w:rPr>
        <w:t>; 2 .Business school, Nankai University, Tianjin 300071, China)</w:t>
      </w:r>
    </w:p>
    <w:p w:rsidR="00950AD5" w:rsidRDefault="006F3A42">
      <w:pPr>
        <w:ind w:firstLineChars="200" w:firstLine="422"/>
        <w:rPr>
          <w:rFonts w:ascii="宋体" w:eastAsia="宋体" w:hAnsi="宋体" w:cs="Times New Roman"/>
          <w:sz w:val="21"/>
          <w:szCs w:val="21"/>
        </w:rPr>
      </w:pPr>
      <w:r>
        <w:rPr>
          <w:rFonts w:ascii="宋体" w:eastAsia="宋体" w:hAnsi="宋体" w:cs="Times New Roman" w:hint="eastAsia"/>
          <w:b/>
          <w:sz w:val="21"/>
          <w:szCs w:val="21"/>
        </w:rPr>
        <w:t>Abstract:</w:t>
      </w:r>
      <w:r>
        <w:rPr>
          <w:rFonts w:ascii="Calibri" w:eastAsia="宋体" w:hAnsi="Calibri" w:cs="Times New Roman"/>
          <w:sz w:val="21"/>
          <w:szCs w:val="21"/>
        </w:rPr>
        <w:t xml:space="preserve"> </w:t>
      </w:r>
      <w:r>
        <w:rPr>
          <w:rFonts w:ascii="宋体" w:eastAsia="宋体" w:hAnsi="宋体" w:cs="Times New Roman" w:hint="eastAsia"/>
          <w:sz w:val="21"/>
          <w:szCs w:val="21"/>
        </w:rPr>
        <w:t>Since July 2014, stock market</w:t>
      </w:r>
      <w:r>
        <w:rPr>
          <w:rFonts w:ascii="宋体" w:eastAsia="宋体" w:hAnsi="宋体" w:cs="Times New Roman"/>
          <w:sz w:val="21"/>
          <w:szCs w:val="21"/>
        </w:rPr>
        <w:t>s</w:t>
      </w:r>
      <w:r>
        <w:rPr>
          <w:rFonts w:ascii="宋体" w:eastAsia="宋体" w:hAnsi="宋体" w:cs="Times New Roman" w:hint="eastAsia"/>
          <w:sz w:val="21"/>
          <w:szCs w:val="21"/>
        </w:rPr>
        <w:t xml:space="preserve"> ha</w:t>
      </w:r>
      <w:r>
        <w:rPr>
          <w:rFonts w:ascii="宋体" w:eastAsia="宋体" w:hAnsi="宋体" w:cs="Times New Roman"/>
          <w:sz w:val="21"/>
          <w:szCs w:val="21"/>
        </w:rPr>
        <w:t>ve</w:t>
      </w:r>
      <w:r>
        <w:rPr>
          <w:rFonts w:ascii="宋体" w:eastAsia="宋体" w:hAnsi="宋体" w:cs="Times New Roman" w:hint="eastAsia"/>
          <w:sz w:val="21"/>
          <w:szCs w:val="21"/>
        </w:rPr>
        <w:t xml:space="preserve"> gone through heavy volatility</w:t>
      </w:r>
      <w:r>
        <w:rPr>
          <w:rFonts w:ascii="宋体" w:eastAsia="宋体" w:hAnsi="宋体" w:cs="Times New Roman"/>
          <w:sz w:val="21"/>
          <w:szCs w:val="21"/>
        </w:rPr>
        <w:t>.</w:t>
      </w:r>
      <w:r>
        <w:rPr>
          <w:rFonts w:ascii="宋体" w:eastAsia="宋体" w:hAnsi="宋体" w:cs="Times New Roman" w:hint="eastAsia"/>
          <w:sz w:val="21"/>
          <w:szCs w:val="21"/>
        </w:rPr>
        <w:t xml:space="preserve"> </w:t>
      </w:r>
      <w:r>
        <w:rPr>
          <w:rFonts w:ascii="宋体" w:eastAsia="宋体" w:hAnsi="宋体" w:cs="Times New Roman"/>
          <w:sz w:val="21"/>
          <w:szCs w:val="21"/>
        </w:rPr>
        <w:t>Scandals</w:t>
      </w:r>
      <w:r>
        <w:rPr>
          <w:rFonts w:ascii="宋体" w:eastAsia="宋体" w:hAnsi="宋体" w:cs="Times New Roman" w:hint="eastAsia"/>
          <w:sz w:val="21"/>
          <w:szCs w:val="21"/>
        </w:rPr>
        <w:t xml:space="preserve"> of major brokerage houses occur frequently</w:t>
      </w:r>
      <w:r>
        <w:rPr>
          <w:rFonts w:ascii="宋体" w:eastAsia="宋体" w:hAnsi="宋体" w:cs="Times New Roman"/>
          <w:sz w:val="21"/>
          <w:szCs w:val="21"/>
        </w:rPr>
        <w:t>;</w:t>
      </w:r>
      <w:r>
        <w:rPr>
          <w:rFonts w:ascii="宋体" w:eastAsia="宋体" w:hAnsi="宋体" w:cs="Times New Roman" w:hint="eastAsia"/>
          <w:sz w:val="21"/>
          <w:szCs w:val="21"/>
        </w:rPr>
        <w:t xml:space="preserve"> many officials of the CSRC </w:t>
      </w:r>
      <w:r>
        <w:rPr>
          <w:rFonts w:ascii="宋体" w:eastAsia="宋体" w:hAnsi="宋体" w:cs="Times New Roman"/>
          <w:sz w:val="21"/>
          <w:szCs w:val="21"/>
        </w:rPr>
        <w:t>are under</w:t>
      </w:r>
      <w:r>
        <w:rPr>
          <w:rFonts w:ascii="宋体" w:eastAsia="宋体" w:hAnsi="宋体" w:cs="Times New Roman" w:hint="eastAsia"/>
          <w:sz w:val="21"/>
          <w:szCs w:val="21"/>
        </w:rPr>
        <w:t xml:space="preserve"> investigat</w:t>
      </w:r>
      <w:r>
        <w:rPr>
          <w:rFonts w:ascii="宋体" w:eastAsia="宋体" w:hAnsi="宋体" w:cs="Times New Roman"/>
          <w:sz w:val="21"/>
          <w:szCs w:val="21"/>
        </w:rPr>
        <w:t>ion</w:t>
      </w:r>
      <w:r>
        <w:rPr>
          <w:rFonts w:ascii="宋体" w:eastAsia="宋体" w:hAnsi="宋体" w:cs="Times New Roman" w:hint="eastAsia"/>
          <w:sz w:val="21"/>
          <w:szCs w:val="21"/>
        </w:rPr>
        <w:t xml:space="preserve">. This </w:t>
      </w:r>
      <w:r>
        <w:rPr>
          <w:rFonts w:ascii="宋体" w:eastAsia="宋体" w:hAnsi="宋体" w:cs="Times New Roman"/>
          <w:sz w:val="21"/>
          <w:szCs w:val="21"/>
        </w:rPr>
        <w:t xml:space="preserve">situation </w:t>
      </w:r>
      <w:r>
        <w:rPr>
          <w:rFonts w:ascii="宋体" w:eastAsia="宋体" w:hAnsi="宋体" w:cs="Times New Roman" w:hint="eastAsia"/>
          <w:sz w:val="21"/>
          <w:szCs w:val="21"/>
        </w:rPr>
        <w:t>not only reflects serious problems of the internal governance mechanism of brokerage houses, but also shows that the external governance mechanism needs to be improved as soon as possible. The Thirteenth Five-year Planning focuses on fostering ca</w:t>
      </w:r>
      <w:r>
        <w:rPr>
          <w:rFonts w:ascii="宋体" w:eastAsia="宋体" w:hAnsi="宋体" w:cs="Times New Roman" w:hint="eastAsia"/>
          <w:sz w:val="21"/>
          <w:szCs w:val="21"/>
        </w:rPr>
        <w:t>pital market</w:t>
      </w:r>
      <w:r>
        <w:rPr>
          <w:rFonts w:ascii="宋体" w:eastAsia="宋体" w:hAnsi="宋体" w:cs="Times New Roman"/>
          <w:sz w:val="21"/>
          <w:szCs w:val="21"/>
        </w:rPr>
        <w:t>s</w:t>
      </w:r>
      <w:r>
        <w:rPr>
          <w:rFonts w:ascii="宋体" w:eastAsia="宋体" w:hAnsi="宋体" w:cs="Times New Roman" w:hint="eastAsia"/>
          <w:sz w:val="21"/>
          <w:szCs w:val="21"/>
        </w:rPr>
        <w:t xml:space="preserve"> which </w:t>
      </w:r>
      <w:r>
        <w:rPr>
          <w:rFonts w:ascii="宋体" w:eastAsia="宋体" w:hAnsi="宋体" w:cs="Times New Roman"/>
          <w:sz w:val="21"/>
          <w:szCs w:val="21"/>
        </w:rPr>
        <w:t>should be</w:t>
      </w:r>
      <w:r>
        <w:rPr>
          <w:rFonts w:ascii="宋体" w:eastAsia="宋体" w:hAnsi="宋体" w:cs="Times New Roman" w:hint="eastAsia"/>
          <w:sz w:val="21"/>
          <w:szCs w:val="21"/>
        </w:rPr>
        <w:t xml:space="preserve"> open, transparent</w:t>
      </w:r>
      <w:r>
        <w:rPr>
          <w:rFonts w:ascii="宋体" w:eastAsia="宋体" w:hAnsi="宋体" w:cs="Times New Roman"/>
          <w:sz w:val="21"/>
          <w:szCs w:val="21"/>
        </w:rPr>
        <w:t>,</w:t>
      </w:r>
      <w:r>
        <w:rPr>
          <w:rFonts w:ascii="宋体" w:eastAsia="宋体" w:hAnsi="宋体" w:cs="Times New Roman" w:hint="eastAsia"/>
          <w:sz w:val="21"/>
          <w:szCs w:val="21"/>
        </w:rPr>
        <w:t xml:space="preserve"> and healthy. Brokerage houses, as one of the important players</w:t>
      </w:r>
      <w:r>
        <w:rPr>
          <w:rFonts w:ascii="宋体" w:eastAsia="宋体" w:hAnsi="宋体" w:cs="Times New Roman"/>
          <w:sz w:val="21"/>
          <w:szCs w:val="21"/>
        </w:rPr>
        <w:t xml:space="preserve"> of capital markets</w:t>
      </w:r>
      <w:r>
        <w:rPr>
          <w:rFonts w:ascii="宋体" w:eastAsia="宋体" w:hAnsi="宋体" w:cs="Times New Roman" w:hint="eastAsia"/>
          <w:sz w:val="21"/>
          <w:szCs w:val="21"/>
        </w:rPr>
        <w:t xml:space="preserve">, </w:t>
      </w:r>
      <w:r>
        <w:rPr>
          <w:rFonts w:ascii="宋体" w:eastAsia="宋体" w:hAnsi="宋体" w:cs="Times New Roman"/>
          <w:sz w:val="21"/>
          <w:szCs w:val="21"/>
        </w:rPr>
        <w:t xml:space="preserve">should </w:t>
      </w:r>
      <w:r>
        <w:rPr>
          <w:rFonts w:ascii="宋体" w:eastAsia="宋体" w:hAnsi="宋体" w:cs="Times New Roman" w:hint="eastAsia"/>
          <w:sz w:val="21"/>
          <w:szCs w:val="21"/>
        </w:rPr>
        <w:t xml:space="preserve">play a key role in </w:t>
      </w:r>
      <w:r>
        <w:rPr>
          <w:rFonts w:ascii="宋体" w:eastAsia="宋体" w:hAnsi="宋体" w:cs="Times New Roman"/>
          <w:sz w:val="21"/>
          <w:szCs w:val="21"/>
        </w:rPr>
        <w:t>the planning,</w:t>
      </w:r>
      <w:r>
        <w:rPr>
          <w:rFonts w:ascii="宋体" w:eastAsia="宋体" w:hAnsi="宋体" w:cs="Times New Roman" w:hint="eastAsia"/>
          <w:sz w:val="21"/>
          <w:szCs w:val="21"/>
        </w:rPr>
        <w:t xml:space="preserve"> </w:t>
      </w:r>
      <w:r>
        <w:rPr>
          <w:rFonts w:ascii="宋体" w:eastAsia="宋体" w:hAnsi="宋体" w:cs="Times New Roman"/>
          <w:sz w:val="21"/>
          <w:szCs w:val="21"/>
        </w:rPr>
        <w:t>but the relevant</w:t>
      </w:r>
      <w:r>
        <w:rPr>
          <w:rFonts w:ascii="宋体" w:eastAsia="宋体" w:hAnsi="宋体" w:cs="Times New Roman" w:hint="eastAsia"/>
          <w:sz w:val="21"/>
          <w:szCs w:val="21"/>
        </w:rPr>
        <w:t xml:space="preserve"> research is </w:t>
      </w:r>
      <w:r>
        <w:rPr>
          <w:rFonts w:ascii="宋体" w:eastAsia="宋体" w:hAnsi="宋体" w:cs="Times New Roman"/>
          <w:sz w:val="21"/>
          <w:szCs w:val="21"/>
        </w:rPr>
        <w:t>rare</w:t>
      </w:r>
      <w:r>
        <w:rPr>
          <w:rFonts w:ascii="宋体" w:eastAsia="宋体" w:hAnsi="宋体" w:cs="Times New Roman" w:hint="eastAsia"/>
          <w:sz w:val="21"/>
          <w:szCs w:val="21"/>
        </w:rPr>
        <w:t xml:space="preserve">. </w:t>
      </w:r>
      <w:r>
        <w:rPr>
          <w:rFonts w:ascii="宋体" w:eastAsia="宋体" w:hAnsi="宋体" w:cs="Times New Roman"/>
          <w:sz w:val="21"/>
          <w:szCs w:val="21"/>
        </w:rPr>
        <w:t>We bridge the gap in this paper. W</w:t>
      </w:r>
      <w:r>
        <w:rPr>
          <w:rFonts w:ascii="宋体" w:eastAsia="宋体" w:hAnsi="宋体" w:cs="Times New Roman" w:hint="eastAsia"/>
          <w:sz w:val="21"/>
          <w:szCs w:val="21"/>
        </w:rPr>
        <w:t>e analyze the r</w:t>
      </w:r>
      <w:r>
        <w:rPr>
          <w:rFonts w:ascii="宋体" w:eastAsia="宋体" w:hAnsi="宋体" w:cs="Times New Roman" w:hint="eastAsia"/>
          <w:sz w:val="21"/>
          <w:szCs w:val="21"/>
        </w:rPr>
        <w:t>ole of brokerage house stock</w:t>
      </w:r>
      <w:r>
        <w:rPr>
          <w:rFonts w:ascii="宋体" w:eastAsia="宋体" w:hAnsi="宋体" w:cs="Times New Roman"/>
          <w:sz w:val="21"/>
          <w:szCs w:val="21"/>
        </w:rPr>
        <w:t>s</w:t>
      </w:r>
      <w:r>
        <w:rPr>
          <w:rFonts w:ascii="宋体" w:eastAsia="宋体" w:hAnsi="宋体" w:cs="Times New Roman" w:hint="eastAsia"/>
          <w:sz w:val="21"/>
          <w:szCs w:val="21"/>
        </w:rPr>
        <w:t xml:space="preserve"> in the volatil</w:t>
      </w:r>
      <w:r>
        <w:rPr>
          <w:rFonts w:ascii="宋体" w:eastAsia="宋体" w:hAnsi="宋体" w:cs="Times New Roman"/>
          <w:sz w:val="21"/>
          <w:szCs w:val="21"/>
        </w:rPr>
        <w:t>e</w:t>
      </w:r>
      <w:r>
        <w:rPr>
          <w:rFonts w:ascii="宋体" w:eastAsia="宋体" w:hAnsi="宋体" w:cs="Times New Roman" w:hint="eastAsia"/>
          <w:sz w:val="21"/>
          <w:szCs w:val="21"/>
        </w:rPr>
        <w:t xml:space="preserve"> stock market</w:t>
      </w:r>
      <w:r>
        <w:rPr>
          <w:rFonts w:ascii="宋体" w:eastAsia="宋体" w:hAnsi="宋体" w:cs="Times New Roman"/>
          <w:sz w:val="21"/>
          <w:szCs w:val="21"/>
        </w:rPr>
        <w:t xml:space="preserve">s. </w:t>
      </w:r>
      <w:r>
        <w:rPr>
          <w:rFonts w:ascii="宋体" w:eastAsia="宋体" w:hAnsi="宋体" w:cs="Times New Roman" w:hint="eastAsia"/>
          <w:sz w:val="21"/>
          <w:szCs w:val="21"/>
        </w:rPr>
        <w:t>Then</w:t>
      </w:r>
      <w:r>
        <w:rPr>
          <w:rFonts w:ascii="宋体" w:eastAsia="宋体" w:hAnsi="宋体" w:cs="Times New Roman"/>
          <w:sz w:val="21"/>
          <w:szCs w:val="21"/>
        </w:rPr>
        <w:t>,</w:t>
      </w:r>
      <w:r>
        <w:rPr>
          <w:rFonts w:ascii="宋体" w:eastAsia="宋体" w:hAnsi="宋体" w:cs="Times New Roman" w:hint="eastAsia"/>
          <w:sz w:val="21"/>
          <w:szCs w:val="21"/>
        </w:rPr>
        <w:t xml:space="preserve"> </w:t>
      </w:r>
      <w:r>
        <w:rPr>
          <w:rFonts w:ascii="宋体" w:eastAsia="宋体" w:hAnsi="宋体" w:cs="Times New Roman"/>
          <w:sz w:val="21"/>
          <w:szCs w:val="21"/>
        </w:rPr>
        <w:t>we</w:t>
      </w:r>
      <w:r>
        <w:rPr>
          <w:rFonts w:ascii="宋体" w:eastAsia="宋体" w:hAnsi="宋体" w:cs="Times New Roman" w:hint="eastAsia"/>
          <w:sz w:val="21"/>
          <w:szCs w:val="21"/>
        </w:rPr>
        <w:t xml:space="preserve"> summarize and </w:t>
      </w:r>
      <w:r>
        <w:rPr>
          <w:rFonts w:ascii="宋体" w:eastAsia="宋体" w:hAnsi="宋体" w:cs="Times New Roman"/>
          <w:sz w:val="21"/>
          <w:szCs w:val="21"/>
        </w:rPr>
        <w:t>analyze</w:t>
      </w:r>
      <w:r>
        <w:rPr>
          <w:rFonts w:ascii="宋体" w:eastAsia="宋体" w:hAnsi="宋体" w:cs="Times New Roman" w:hint="eastAsia"/>
          <w:sz w:val="21"/>
          <w:szCs w:val="21"/>
        </w:rPr>
        <w:t xml:space="preserve"> </w:t>
      </w:r>
      <w:r>
        <w:rPr>
          <w:rFonts w:ascii="宋体" w:eastAsia="宋体" w:hAnsi="宋体" w:cs="Times New Roman"/>
          <w:sz w:val="21"/>
          <w:szCs w:val="21"/>
        </w:rPr>
        <w:t>the scandals</w:t>
      </w:r>
      <w:r>
        <w:rPr>
          <w:rFonts w:ascii="宋体" w:eastAsia="宋体" w:hAnsi="宋体" w:cs="Times New Roman" w:hint="eastAsia"/>
          <w:sz w:val="21"/>
          <w:szCs w:val="21"/>
        </w:rPr>
        <w:t xml:space="preserve"> in 2015</w:t>
      </w:r>
      <w:r>
        <w:rPr>
          <w:rFonts w:ascii="宋体" w:eastAsia="宋体" w:hAnsi="宋体" w:cs="Times New Roman"/>
          <w:sz w:val="21"/>
          <w:szCs w:val="21"/>
        </w:rPr>
        <w:t xml:space="preserve"> </w:t>
      </w:r>
      <w:r>
        <w:rPr>
          <w:rFonts w:ascii="宋体" w:eastAsia="宋体" w:hAnsi="宋体" w:cs="Times New Roman" w:hint="eastAsia"/>
          <w:sz w:val="21"/>
          <w:szCs w:val="21"/>
        </w:rPr>
        <w:t xml:space="preserve">from the perspective of corporate governance. </w:t>
      </w:r>
      <w:r>
        <w:rPr>
          <w:rFonts w:ascii="宋体" w:eastAsia="宋体" w:hAnsi="宋体" w:cs="Times New Roman"/>
          <w:sz w:val="21"/>
          <w:szCs w:val="21"/>
        </w:rPr>
        <w:t>Moreover</w:t>
      </w:r>
      <w:r>
        <w:rPr>
          <w:rFonts w:ascii="宋体" w:eastAsia="宋体" w:hAnsi="宋体" w:cs="Times New Roman" w:hint="eastAsia"/>
          <w:sz w:val="21"/>
          <w:szCs w:val="21"/>
        </w:rPr>
        <w:t xml:space="preserve">, we </w:t>
      </w:r>
      <w:r>
        <w:rPr>
          <w:rFonts w:ascii="宋体" w:eastAsia="宋体" w:hAnsi="宋体" w:cs="Times New Roman"/>
          <w:sz w:val="21"/>
          <w:szCs w:val="21"/>
        </w:rPr>
        <w:t>propose</w:t>
      </w:r>
      <w:r>
        <w:rPr>
          <w:rFonts w:ascii="宋体" w:eastAsia="宋体" w:hAnsi="宋体" w:cs="Times New Roman" w:hint="eastAsia"/>
          <w:sz w:val="21"/>
          <w:szCs w:val="21"/>
        </w:rPr>
        <w:t xml:space="preserve"> new ideas </w:t>
      </w:r>
      <w:r>
        <w:rPr>
          <w:rFonts w:ascii="宋体" w:eastAsia="宋体" w:hAnsi="宋体" w:cs="Times New Roman" w:hint="eastAsia"/>
          <w:sz w:val="21"/>
          <w:szCs w:val="21"/>
        </w:rPr>
        <w:lastRenderedPageBreak/>
        <w:t xml:space="preserve">of stock market integration governance and advice on setting up </w:t>
      </w:r>
      <w:r>
        <w:rPr>
          <w:rFonts w:ascii="宋体" w:eastAsia="宋体" w:hAnsi="宋体" w:cs="Times New Roman"/>
          <w:sz w:val="21"/>
          <w:szCs w:val="21"/>
        </w:rPr>
        <w:t xml:space="preserve">a </w:t>
      </w:r>
      <w:r>
        <w:rPr>
          <w:rFonts w:ascii="宋体" w:eastAsia="宋体" w:hAnsi="宋体" w:cs="Times New Roman" w:hint="eastAsia"/>
          <w:sz w:val="21"/>
          <w:szCs w:val="21"/>
        </w:rPr>
        <w:t xml:space="preserve">third-party consulting agency which is independent from brokerage houses, so as to </w:t>
      </w:r>
      <w:r>
        <w:rPr>
          <w:rFonts w:ascii="宋体" w:eastAsia="宋体" w:hAnsi="宋体" w:cs="Times New Roman"/>
          <w:sz w:val="21"/>
          <w:szCs w:val="21"/>
        </w:rPr>
        <w:t>improve</w:t>
      </w:r>
      <w:r>
        <w:rPr>
          <w:rFonts w:ascii="宋体" w:eastAsia="宋体" w:hAnsi="宋体" w:cs="Times New Roman" w:hint="eastAsia"/>
          <w:sz w:val="21"/>
          <w:szCs w:val="21"/>
        </w:rPr>
        <w:t xml:space="preserve"> the corporate governance mechanism of brokerage houses. </w:t>
      </w:r>
      <w:r>
        <w:rPr>
          <w:rFonts w:ascii="宋体" w:eastAsia="宋体" w:hAnsi="宋体" w:cs="Times New Roman"/>
          <w:sz w:val="21"/>
          <w:szCs w:val="21"/>
        </w:rPr>
        <w:t>At last</w:t>
      </w:r>
      <w:r>
        <w:rPr>
          <w:rFonts w:ascii="宋体" w:eastAsia="宋体" w:hAnsi="宋体" w:cs="Times New Roman" w:hint="eastAsia"/>
          <w:sz w:val="21"/>
          <w:szCs w:val="21"/>
        </w:rPr>
        <w:t xml:space="preserve">, </w:t>
      </w:r>
      <w:r>
        <w:rPr>
          <w:rFonts w:ascii="宋体" w:eastAsia="宋体" w:hAnsi="宋体" w:cs="Times New Roman"/>
          <w:sz w:val="21"/>
          <w:szCs w:val="21"/>
        </w:rPr>
        <w:t>we</w:t>
      </w:r>
      <w:r>
        <w:rPr>
          <w:rFonts w:ascii="宋体" w:eastAsia="宋体" w:hAnsi="宋体" w:cs="Times New Roman" w:hint="eastAsia"/>
          <w:sz w:val="21"/>
          <w:szCs w:val="21"/>
        </w:rPr>
        <w:t xml:space="preserve"> </w:t>
      </w:r>
      <w:r>
        <w:rPr>
          <w:rFonts w:ascii="宋体" w:eastAsia="宋体" w:hAnsi="宋体" w:cs="Times New Roman"/>
          <w:sz w:val="21"/>
          <w:szCs w:val="21"/>
        </w:rPr>
        <w:t>outline</w:t>
      </w:r>
      <w:r>
        <w:rPr>
          <w:rFonts w:ascii="宋体" w:eastAsia="宋体" w:hAnsi="宋体" w:cs="Times New Roman" w:hint="eastAsia"/>
          <w:sz w:val="21"/>
          <w:szCs w:val="21"/>
        </w:rPr>
        <w:t xml:space="preserve"> the </w:t>
      </w:r>
      <w:r>
        <w:rPr>
          <w:rFonts w:ascii="宋体" w:eastAsia="宋体" w:hAnsi="宋体" w:cs="Times New Roman"/>
          <w:sz w:val="21"/>
          <w:szCs w:val="21"/>
        </w:rPr>
        <w:t>prospect</w:t>
      </w:r>
      <w:r>
        <w:rPr>
          <w:rFonts w:ascii="宋体" w:eastAsia="宋体" w:hAnsi="宋体" w:cs="Times New Roman" w:hint="eastAsia"/>
          <w:sz w:val="21"/>
          <w:szCs w:val="21"/>
        </w:rPr>
        <w:t xml:space="preserve"> of </w:t>
      </w:r>
      <w:r>
        <w:rPr>
          <w:rFonts w:ascii="宋体" w:eastAsia="宋体" w:hAnsi="宋体" w:cs="Times New Roman"/>
          <w:sz w:val="21"/>
          <w:szCs w:val="21"/>
        </w:rPr>
        <w:t xml:space="preserve">corporate governance for </w:t>
      </w:r>
      <w:r>
        <w:rPr>
          <w:rFonts w:ascii="宋体" w:eastAsia="宋体" w:hAnsi="宋体" w:cs="Times New Roman" w:hint="eastAsia"/>
          <w:sz w:val="21"/>
          <w:szCs w:val="21"/>
        </w:rPr>
        <w:t>brokerage houses based on the Thirteenth Five-ye</w:t>
      </w:r>
      <w:r>
        <w:rPr>
          <w:rFonts w:ascii="宋体" w:eastAsia="宋体" w:hAnsi="宋体" w:cs="Times New Roman" w:hint="eastAsia"/>
          <w:sz w:val="21"/>
          <w:szCs w:val="21"/>
        </w:rPr>
        <w:t>ar Planning.</w:t>
      </w:r>
    </w:p>
    <w:p w:rsidR="00950AD5" w:rsidRDefault="006F3A42">
      <w:pPr>
        <w:ind w:firstLineChars="200" w:firstLine="422"/>
        <w:rPr>
          <w:rFonts w:asciiTheme="minorEastAsia" w:hAnsiTheme="minorEastAsia"/>
          <w:sz w:val="21"/>
          <w:szCs w:val="21"/>
        </w:rPr>
      </w:pPr>
      <w:r>
        <w:rPr>
          <w:rFonts w:ascii="宋体" w:eastAsia="宋体" w:hAnsi="宋体" w:cs="Times New Roman" w:hint="eastAsia"/>
          <w:b/>
          <w:sz w:val="21"/>
          <w:szCs w:val="21"/>
        </w:rPr>
        <w:t>Key word:</w:t>
      </w:r>
      <w:r>
        <w:rPr>
          <w:rFonts w:ascii="Calibri" w:eastAsia="宋体" w:hAnsi="Calibri" w:cs="Times New Roman"/>
          <w:sz w:val="21"/>
          <w:szCs w:val="21"/>
        </w:rPr>
        <w:t xml:space="preserve"> </w:t>
      </w:r>
      <w:r>
        <w:rPr>
          <w:rFonts w:ascii="宋体" w:eastAsia="宋体" w:hAnsi="宋体" w:cs="Times New Roman" w:hint="eastAsia"/>
          <w:sz w:val="21"/>
          <w:szCs w:val="21"/>
        </w:rPr>
        <w:t xml:space="preserve">brokerage house </w:t>
      </w:r>
      <w:r>
        <w:rPr>
          <w:rFonts w:ascii="宋体" w:eastAsia="宋体" w:hAnsi="宋体" w:cs="Times New Roman"/>
          <w:sz w:val="21"/>
          <w:szCs w:val="21"/>
        </w:rPr>
        <w:t>scandal</w:t>
      </w:r>
      <w:r>
        <w:rPr>
          <w:rFonts w:ascii="宋体" w:eastAsia="宋体" w:hAnsi="宋体" w:cs="Times New Roman" w:hint="eastAsia"/>
          <w:sz w:val="21"/>
          <w:szCs w:val="21"/>
        </w:rPr>
        <w:t>s; corporate governance; event study; internal governance; external governance; the Thirteenth Five-year Planning</w:t>
      </w:r>
    </w:p>
    <w:p w:rsidR="00950AD5" w:rsidRDefault="00950AD5">
      <w:pPr>
        <w:ind w:firstLineChars="200" w:firstLine="420"/>
        <w:rPr>
          <w:rFonts w:asciiTheme="minorEastAsia" w:hAnsiTheme="minorEastAsia"/>
          <w:sz w:val="21"/>
          <w:szCs w:val="21"/>
        </w:rPr>
      </w:pPr>
    </w:p>
    <w:p w:rsidR="00950AD5" w:rsidRDefault="006F3A42">
      <w:pPr>
        <w:pStyle w:val="1"/>
        <w:spacing w:line="240" w:lineRule="auto"/>
        <w:rPr>
          <w:rFonts w:ascii="黑体" w:hAnsiTheme="minorEastAsia"/>
          <w:b w:val="0"/>
          <w:szCs w:val="28"/>
        </w:rPr>
      </w:pPr>
      <w:r>
        <w:rPr>
          <w:rFonts w:ascii="黑体" w:hAnsiTheme="minorEastAsia" w:hint="eastAsia"/>
          <w:b w:val="0"/>
          <w:szCs w:val="28"/>
        </w:rPr>
        <w:t>一</w:t>
      </w:r>
      <w:r>
        <w:rPr>
          <w:rFonts w:ascii="黑体" w:hAnsiTheme="minorEastAsia" w:hint="eastAsia"/>
          <w:b w:val="0"/>
          <w:szCs w:val="28"/>
        </w:rPr>
        <w:t xml:space="preserve"> </w:t>
      </w:r>
      <w:r>
        <w:rPr>
          <w:rFonts w:ascii="黑体" w:hAnsiTheme="minorEastAsia" w:hint="eastAsia"/>
          <w:b w:val="0"/>
          <w:szCs w:val="28"/>
        </w:rPr>
        <w:t>序论</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2014</w:t>
      </w:r>
      <w:r>
        <w:rPr>
          <w:rFonts w:asciiTheme="minorEastAsia" w:hAnsiTheme="minorEastAsia" w:hint="eastAsia"/>
          <w:sz w:val="21"/>
          <w:szCs w:val="21"/>
        </w:rPr>
        <w:t>年</w:t>
      </w:r>
      <w:r>
        <w:rPr>
          <w:rFonts w:asciiTheme="minorEastAsia" w:hAnsiTheme="minorEastAsia" w:hint="eastAsia"/>
          <w:sz w:val="21"/>
          <w:szCs w:val="21"/>
        </w:rPr>
        <w:t>7</w:t>
      </w:r>
      <w:r>
        <w:rPr>
          <w:rFonts w:asciiTheme="minorEastAsia" w:hAnsiTheme="minorEastAsia" w:hint="eastAsia"/>
          <w:sz w:val="21"/>
          <w:szCs w:val="21"/>
        </w:rPr>
        <w:t>月至今，中国的股票市场（以下简称“股市”）经历了令人瞠目的跌宕起伏，剧烈的波动最终给广大投资者带来了沉重的损失，也给国家带来了严重的负面影响，股市运行的危急状况实属罕见。在此期间，实力雄厚的中信证券有</w:t>
      </w:r>
      <w:r>
        <w:rPr>
          <w:rFonts w:asciiTheme="minorEastAsia" w:hAnsiTheme="minorEastAsia" w:hint="eastAsia"/>
          <w:sz w:val="21"/>
          <w:szCs w:val="21"/>
        </w:rPr>
        <w:t>13</w:t>
      </w:r>
      <w:r>
        <w:rPr>
          <w:rFonts w:asciiTheme="minorEastAsia" w:hAnsiTheme="minorEastAsia" w:hint="eastAsia"/>
          <w:sz w:val="21"/>
          <w:szCs w:val="21"/>
        </w:rPr>
        <w:t>位高管被调查或被要求协助调查，</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10</w:t>
      </w:r>
      <w:r>
        <w:rPr>
          <w:rFonts w:asciiTheme="minorEastAsia" w:hAnsiTheme="minorEastAsia" w:hint="eastAsia"/>
          <w:sz w:val="21"/>
          <w:szCs w:val="21"/>
        </w:rPr>
        <w:t>月，国信证券总裁陈鸿桥在家中自杀身亡。</w:t>
      </w:r>
      <w:r>
        <w:rPr>
          <w:rFonts w:asciiTheme="minorEastAsia" w:hAnsiTheme="minorEastAsia" w:hint="eastAsia"/>
          <w:sz w:val="21"/>
          <w:szCs w:val="21"/>
        </w:rPr>
        <w:t xml:space="preserve"> 2015</w:t>
      </w:r>
      <w:r>
        <w:rPr>
          <w:rFonts w:asciiTheme="minorEastAsia" w:hAnsiTheme="minorEastAsia" w:hint="eastAsia"/>
          <w:sz w:val="21"/>
          <w:szCs w:val="21"/>
        </w:rPr>
        <w:t>年，我国</w:t>
      </w:r>
      <w:r>
        <w:rPr>
          <w:rFonts w:asciiTheme="minorEastAsia" w:hAnsiTheme="minorEastAsia" w:hint="eastAsia"/>
          <w:sz w:val="21"/>
          <w:szCs w:val="21"/>
        </w:rPr>
        <w:t>118</w:t>
      </w:r>
      <w:r>
        <w:rPr>
          <w:rFonts w:asciiTheme="minorEastAsia" w:hAnsiTheme="minorEastAsia" w:hint="eastAsia"/>
          <w:sz w:val="21"/>
          <w:szCs w:val="21"/>
        </w:rPr>
        <w:t>家证券公司（以下简称“券商”）有</w:t>
      </w:r>
      <w:r>
        <w:rPr>
          <w:rFonts w:asciiTheme="minorEastAsia" w:hAnsiTheme="minorEastAsia" w:hint="eastAsia"/>
          <w:sz w:val="21"/>
          <w:szCs w:val="21"/>
        </w:rPr>
        <w:t>22</w:t>
      </w:r>
      <w:r>
        <w:rPr>
          <w:rFonts w:asciiTheme="minorEastAsia" w:hAnsiTheme="minorEastAsia" w:hint="eastAsia"/>
          <w:sz w:val="21"/>
          <w:szCs w:val="21"/>
        </w:rPr>
        <w:t>家受到证监会的通告或者处罚，约占总数的</w:t>
      </w:r>
      <w:r>
        <w:rPr>
          <w:rFonts w:asciiTheme="minorEastAsia" w:hAnsiTheme="minorEastAsia" w:hint="eastAsia"/>
          <w:sz w:val="21"/>
          <w:szCs w:val="21"/>
        </w:rPr>
        <w:t>19%</w:t>
      </w:r>
      <w:r>
        <w:rPr>
          <w:rFonts w:asciiTheme="minorEastAsia" w:hAnsiTheme="minorEastAsia" w:hint="eastAsia"/>
          <w:sz w:val="21"/>
          <w:szCs w:val="21"/>
        </w:rPr>
        <w:t>。另外，参与</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7</w:t>
      </w:r>
      <w:r>
        <w:rPr>
          <w:rFonts w:asciiTheme="minorEastAsia" w:hAnsiTheme="minorEastAsia" w:hint="eastAsia"/>
          <w:sz w:val="21"/>
          <w:szCs w:val="21"/>
        </w:rPr>
        <w:t>月份股市维稳的</w:t>
      </w:r>
      <w:r>
        <w:rPr>
          <w:rFonts w:asciiTheme="minorEastAsia" w:hAnsiTheme="minorEastAsia" w:hint="eastAsia"/>
          <w:sz w:val="21"/>
          <w:szCs w:val="21"/>
        </w:rPr>
        <w:t>21</w:t>
      </w:r>
      <w:r>
        <w:rPr>
          <w:rFonts w:asciiTheme="minorEastAsia" w:hAnsiTheme="minorEastAsia" w:hint="eastAsia"/>
          <w:sz w:val="21"/>
          <w:szCs w:val="21"/>
        </w:rPr>
        <w:t>家券商中，受到处罚的有</w:t>
      </w:r>
      <w:r>
        <w:rPr>
          <w:rFonts w:asciiTheme="minorEastAsia" w:hAnsiTheme="minorEastAsia" w:hint="eastAsia"/>
          <w:sz w:val="21"/>
          <w:szCs w:val="21"/>
        </w:rPr>
        <w:t>14</w:t>
      </w:r>
      <w:r>
        <w:rPr>
          <w:rFonts w:asciiTheme="minorEastAsia" w:hAnsiTheme="minorEastAsia" w:hint="eastAsia"/>
          <w:sz w:val="21"/>
          <w:szCs w:val="21"/>
        </w:rPr>
        <w:t>家，占总数的</w:t>
      </w:r>
      <w:r>
        <w:rPr>
          <w:rFonts w:asciiTheme="minorEastAsia" w:hAnsiTheme="minorEastAsia" w:hint="eastAsia"/>
          <w:sz w:val="21"/>
          <w:szCs w:val="21"/>
        </w:rPr>
        <w:t>67%</w:t>
      </w:r>
      <w:r>
        <w:rPr>
          <w:rFonts w:asciiTheme="minorEastAsia" w:hAnsiTheme="minorEastAsia" w:hint="eastAsia"/>
          <w:sz w:val="21"/>
          <w:szCs w:val="21"/>
        </w:rPr>
        <w:t>。此外，多名证监会官员被</w:t>
      </w:r>
      <w:r>
        <w:rPr>
          <w:rFonts w:asciiTheme="minorEastAsia" w:hAnsiTheme="minorEastAsia" w:hint="eastAsia"/>
          <w:sz w:val="21"/>
          <w:szCs w:val="21"/>
        </w:rPr>
        <w:t>处分、被调查，其中，证监会主席助理张育军涉嫌严重违纪，被免去职务，是证监会有史以来被处分的级别最高的现任官员；中国证监会党委委员、副主席姚刚涉嫌严重违纪，目前正接受组织调查。</w:t>
      </w:r>
      <w:r>
        <w:rPr>
          <w:rFonts w:asciiTheme="minorEastAsia" w:hAnsiTheme="minorEastAsia" w:hint="eastAsia"/>
          <w:sz w:val="21"/>
          <w:szCs w:val="21"/>
        </w:rPr>
        <w:t xml:space="preserve"> </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层出不穷的券商、证监会官员违规事件不仅严重影响了股市的发展，同时也反映出事件背后券商在公司治理上存在的种种问题和缺陷，这也表明券商的公司治理存在重大漏洞和不足，对其的研究和改革已经到了刻不容缓的地步。</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十三五规划期望股市朝着公开透明、持续稳健的方向不断发展，券商作为其中的重要组成部分，其公司治理能力的高低、经营水平的合法合规性，不仅</w:t>
      </w:r>
      <w:r>
        <w:rPr>
          <w:rFonts w:asciiTheme="minorEastAsia" w:hAnsiTheme="minorEastAsia" w:hint="eastAsia"/>
          <w:sz w:val="21"/>
          <w:szCs w:val="21"/>
        </w:rPr>
        <w:t>对券商自身的业务发展起到关键作用，同时也对证券市场的长期稳定健康发展有着显著的影响</w:t>
      </w:r>
      <w:r>
        <w:rPr>
          <w:rFonts w:asciiTheme="minorEastAsia" w:hAnsiTheme="minorEastAsia" w:hint="eastAsia"/>
          <w:sz w:val="21"/>
          <w:szCs w:val="21"/>
          <w:vertAlign w:val="superscript"/>
        </w:rPr>
        <w:t>[1]</w:t>
      </w:r>
      <w:r>
        <w:rPr>
          <w:rFonts w:asciiTheme="minorEastAsia" w:hAnsiTheme="minorEastAsia" w:hint="eastAsia"/>
          <w:sz w:val="21"/>
          <w:szCs w:val="21"/>
        </w:rPr>
        <w:t>。而券商要进一步实现投融资体制的改革、资本手段及融资方式的创新、风险管理的提高，就要提高自身的公司治理水平。</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然而，针对此次股市的剧烈波动和给投资者带来的严重损失，并结合十三五规划对于券商公司治理的研究，却非常匮乏，如券商的违法违规事件对于股市产生了怎样的影响，从中反映出券商的公司治理机制存在哪些重要缺陷等等。</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鉴于此类研究的匮乏，本文研究了股市的重大关切，定量分析了券商股在股市剧烈波动中的作用；并首次提出了“股市参与主</w:t>
      </w:r>
      <w:r>
        <w:rPr>
          <w:rFonts w:asciiTheme="minorEastAsia" w:hAnsiTheme="minorEastAsia" w:hint="eastAsia"/>
          <w:sz w:val="21"/>
          <w:szCs w:val="21"/>
        </w:rPr>
        <w:t>体整合治理”的新观点，强调这一观点对于券商外部治理起到的重要作用</w:t>
      </w:r>
      <w:r>
        <w:rPr>
          <w:rFonts w:asciiTheme="minorEastAsia" w:hAnsiTheme="minorEastAsia" w:hint="eastAsia"/>
          <w:sz w:val="21"/>
          <w:szCs w:val="21"/>
        </w:rPr>
        <w:t>:</w:t>
      </w:r>
      <w:r>
        <w:rPr>
          <w:rFonts w:asciiTheme="minorEastAsia" w:hAnsiTheme="minorEastAsia" w:hint="eastAsia"/>
          <w:sz w:val="21"/>
          <w:szCs w:val="21"/>
        </w:rPr>
        <w:t>不仅可以更好地完善券商的外部治理机制，还可以为构建长期稳定健康发展的证券市场奠定坚实基础</w:t>
      </w:r>
      <w:r>
        <w:rPr>
          <w:rFonts w:asciiTheme="minorEastAsia" w:hAnsiTheme="minorEastAsia"/>
          <w:sz w:val="21"/>
          <w:szCs w:val="21"/>
        </w:rPr>
        <w:t>；</w:t>
      </w:r>
      <w:r>
        <w:rPr>
          <w:rFonts w:asciiTheme="minorEastAsia" w:hAnsiTheme="minorEastAsia" w:hint="eastAsia"/>
          <w:sz w:val="21"/>
          <w:szCs w:val="21"/>
        </w:rPr>
        <w:t>同时就券商的研报问题提出了成立第三方咨询机构的相关具体建议。本文主要针对</w:t>
      </w:r>
      <w:r>
        <w:rPr>
          <w:rFonts w:asciiTheme="minorEastAsia" w:hAnsiTheme="minorEastAsia" w:hint="eastAsia"/>
          <w:sz w:val="21"/>
          <w:szCs w:val="21"/>
        </w:rPr>
        <w:t>2015</w:t>
      </w:r>
      <w:r>
        <w:rPr>
          <w:rFonts w:asciiTheme="minorEastAsia" w:hAnsiTheme="minorEastAsia" w:hint="eastAsia"/>
          <w:sz w:val="21"/>
          <w:szCs w:val="21"/>
        </w:rPr>
        <w:t>年发生的券商违规事件进行分析和研究，包括券商的业务合法合规问题、高管的违规违法问题、股市参与主体的整合治理以及信息披露制度的完备完善问题等等；并从公司内部治理和外部治理两个角度</w:t>
      </w:r>
      <w:r>
        <w:rPr>
          <w:rFonts w:asciiTheme="minorEastAsia" w:hAnsiTheme="minorEastAsia" w:hint="eastAsia"/>
          <w:sz w:val="21"/>
          <w:szCs w:val="21"/>
          <w:vertAlign w:val="superscript"/>
        </w:rPr>
        <w:t>[2]</w:t>
      </w:r>
      <w:r>
        <w:rPr>
          <w:rFonts w:asciiTheme="minorEastAsia" w:hAnsiTheme="minorEastAsia" w:hint="eastAsia"/>
          <w:sz w:val="21"/>
          <w:szCs w:val="21"/>
        </w:rPr>
        <w:t>，结合</w:t>
      </w:r>
      <w:r>
        <w:rPr>
          <w:rFonts w:asciiTheme="minorEastAsia" w:hAnsiTheme="minorEastAsia" w:hint="eastAsia"/>
          <w:sz w:val="21"/>
          <w:szCs w:val="21"/>
        </w:rPr>
        <w:t>2015</w:t>
      </w:r>
      <w:r>
        <w:rPr>
          <w:rFonts w:asciiTheme="minorEastAsia" w:hAnsiTheme="minorEastAsia" w:hint="eastAsia"/>
          <w:sz w:val="21"/>
          <w:szCs w:val="21"/>
        </w:rPr>
        <w:t>年股市的剧烈波动，总结我国券商在公司治理方面存在的漏洞和不足，进一步阐明相应地发</w:t>
      </w:r>
      <w:r>
        <w:rPr>
          <w:rFonts w:asciiTheme="minorEastAsia" w:hAnsiTheme="minorEastAsia" w:hint="eastAsia"/>
          <w:sz w:val="21"/>
          <w:szCs w:val="21"/>
        </w:rPr>
        <w:t>展方向和意见建议；最后提出十三五规划下券商公司治理的展望。这不仅有助于提高券商的公司治理水平，也有助于推动经济社会持续健康发展，如期实现全面建成小康社会的奋斗目标。</w:t>
      </w:r>
    </w:p>
    <w:p w:rsidR="00950AD5" w:rsidRDefault="006F3A42">
      <w:pPr>
        <w:pStyle w:val="1"/>
        <w:spacing w:line="240" w:lineRule="auto"/>
        <w:rPr>
          <w:rFonts w:ascii="黑体" w:hAnsiTheme="minorEastAsia"/>
          <w:b w:val="0"/>
          <w:szCs w:val="28"/>
        </w:rPr>
      </w:pPr>
      <w:r>
        <w:rPr>
          <w:rFonts w:ascii="黑体" w:hAnsiTheme="minorEastAsia" w:hint="eastAsia"/>
          <w:b w:val="0"/>
          <w:szCs w:val="28"/>
        </w:rPr>
        <w:lastRenderedPageBreak/>
        <w:t>二</w:t>
      </w:r>
      <w:r>
        <w:rPr>
          <w:rFonts w:ascii="黑体" w:hAnsiTheme="minorEastAsia" w:hint="eastAsia"/>
          <w:b w:val="0"/>
          <w:szCs w:val="28"/>
        </w:rPr>
        <w:t xml:space="preserve"> </w:t>
      </w:r>
      <w:r>
        <w:rPr>
          <w:rFonts w:ascii="黑体" w:hAnsiTheme="minorEastAsia" w:hint="eastAsia"/>
          <w:b w:val="0"/>
          <w:szCs w:val="28"/>
        </w:rPr>
        <w:t>文献综述</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相较于英美外部市场型、德日内部控制型、东亚家族控制型三种公司治理模式，中国的公司治理在经历产权改革和现代公司制度的建立后仍处于发展的阶段。由于政治、历史等的原因，我国学者对于公司治理的研究较为宏观，更多的将公司治理与其治理结构、企业生命周期、企业价值、风险管理、社会责任、创新效率等结合分析。</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郑志刚</w:t>
      </w:r>
      <w:r>
        <w:rPr>
          <w:rFonts w:asciiTheme="minorEastAsia" w:hAnsiTheme="minorEastAsia" w:hint="eastAsia"/>
          <w:sz w:val="21"/>
          <w:szCs w:val="21"/>
          <w:vertAlign w:val="superscript"/>
        </w:rPr>
        <w:t>[3]</w:t>
      </w:r>
      <w:r>
        <w:rPr>
          <w:rFonts w:asciiTheme="minorEastAsia" w:hAnsiTheme="minorEastAsia" w:hint="eastAsia"/>
          <w:sz w:val="21"/>
          <w:szCs w:val="21"/>
        </w:rPr>
        <w:t>在回顾现代企业理论对企业的</w:t>
      </w:r>
      <w:r>
        <w:rPr>
          <w:rFonts w:asciiTheme="minorEastAsia" w:hAnsiTheme="minorEastAsia" w:hint="eastAsia"/>
          <w:sz w:val="21"/>
          <w:szCs w:val="21"/>
        </w:rPr>
        <w:t>基本认识和公司治理面临的主要任务的基础上重新探讨了公司治理的内涵</w:t>
      </w:r>
      <w:r>
        <w:rPr>
          <w:rFonts w:asciiTheme="minorEastAsia" w:hAnsiTheme="minorEastAsia" w:hint="eastAsia"/>
          <w:sz w:val="21"/>
          <w:szCs w:val="21"/>
        </w:rPr>
        <w:t xml:space="preserve">; </w:t>
      </w:r>
      <w:r>
        <w:rPr>
          <w:rFonts w:asciiTheme="minorEastAsia" w:hAnsiTheme="minorEastAsia" w:hint="eastAsia"/>
          <w:sz w:val="21"/>
          <w:szCs w:val="21"/>
        </w:rPr>
        <w:t>李云鹤等</w:t>
      </w:r>
      <w:r>
        <w:rPr>
          <w:rFonts w:asciiTheme="minorEastAsia" w:hAnsiTheme="minorEastAsia" w:hint="eastAsia"/>
          <w:sz w:val="21"/>
          <w:szCs w:val="21"/>
          <w:vertAlign w:val="superscript"/>
        </w:rPr>
        <w:t>[4]</w:t>
      </w:r>
      <w:r>
        <w:rPr>
          <w:rFonts w:asciiTheme="minorEastAsia" w:hAnsiTheme="minorEastAsia" w:hint="eastAsia"/>
          <w:sz w:val="21"/>
          <w:szCs w:val="21"/>
        </w:rPr>
        <w:t>基于企业生命周期探究公司治理机制对公司资本配置效率的治理效果；刘银国等</w:t>
      </w:r>
      <w:r>
        <w:rPr>
          <w:rFonts w:asciiTheme="minorEastAsia" w:hAnsiTheme="minorEastAsia" w:hint="eastAsia"/>
          <w:sz w:val="21"/>
          <w:szCs w:val="21"/>
          <w:vertAlign w:val="superscript"/>
        </w:rPr>
        <w:t>[5]</w:t>
      </w:r>
      <w:r>
        <w:rPr>
          <w:rFonts w:asciiTheme="minorEastAsia" w:hAnsiTheme="minorEastAsia" w:hint="eastAsia"/>
          <w:sz w:val="21"/>
          <w:szCs w:val="21"/>
        </w:rPr>
        <w:t>则探究了公司治理水平对于企业长期及短期绩效的影响；曹廷求等</w:t>
      </w:r>
      <w:r>
        <w:rPr>
          <w:rFonts w:asciiTheme="minorEastAsia" w:hAnsiTheme="minorEastAsia" w:hint="eastAsia"/>
          <w:sz w:val="21"/>
          <w:szCs w:val="21"/>
          <w:vertAlign w:val="superscript"/>
        </w:rPr>
        <w:t>[6]</w:t>
      </w:r>
      <w:r>
        <w:rPr>
          <w:rFonts w:asciiTheme="minorEastAsia" w:hAnsiTheme="minorEastAsia" w:hint="eastAsia"/>
          <w:sz w:val="21"/>
          <w:szCs w:val="21"/>
        </w:rPr>
        <w:t xml:space="preserve"> </w:t>
      </w:r>
      <w:r>
        <w:rPr>
          <w:rFonts w:asciiTheme="minorEastAsia" w:hAnsiTheme="minorEastAsia" w:hint="eastAsia"/>
          <w:sz w:val="21"/>
          <w:szCs w:val="21"/>
        </w:rPr>
        <w:t>从公司治理和风险管理的关系入手</w:t>
      </w:r>
      <w:r>
        <w:rPr>
          <w:rFonts w:asciiTheme="minorEastAsia" w:hAnsiTheme="minorEastAsia" w:hint="eastAsia"/>
          <w:sz w:val="21"/>
          <w:szCs w:val="21"/>
        </w:rPr>
        <w:t xml:space="preserve">, </w:t>
      </w:r>
      <w:r>
        <w:rPr>
          <w:rFonts w:asciiTheme="minorEastAsia" w:hAnsiTheme="minorEastAsia" w:hint="eastAsia"/>
          <w:sz w:val="21"/>
          <w:szCs w:val="21"/>
        </w:rPr>
        <w:t>从公司治理整体的角度定义了治理风险；高汉祥</w:t>
      </w:r>
      <w:r>
        <w:rPr>
          <w:rFonts w:asciiTheme="minorEastAsia" w:hAnsiTheme="minorEastAsia" w:hint="eastAsia"/>
          <w:sz w:val="21"/>
          <w:szCs w:val="21"/>
          <w:vertAlign w:val="superscript"/>
        </w:rPr>
        <w:t>[7]</w:t>
      </w:r>
      <w:r>
        <w:rPr>
          <w:rFonts w:asciiTheme="minorEastAsia" w:hAnsiTheme="minorEastAsia" w:hint="eastAsia"/>
          <w:sz w:val="21"/>
          <w:szCs w:val="21"/>
        </w:rPr>
        <w:t>则探究公司治理与社会责任的关系是被动回应还是主动嵌入；张洪辉等</w:t>
      </w:r>
      <w:r>
        <w:rPr>
          <w:rFonts w:asciiTheme="minorEastAsia" w:hAnsiTheme="minorEastAsia" w:hint="eastAsia"/>
          <w:sz w:val="21"/>
          <w:szCs w:val="21"/>
          <w:vertAlign w:val="superscript"/>
        </w:rPr>
        <w:t>[8]</w:t>
      </w:r>
      <w:r>
        <w:rPr>
          <w:rFonts w:asciiTheme="minorEastAsia" w:hAnsiTheme="minorEastAsia" w:hint="eastAsia"/>
          <w:sz w:val="21"/>
          <w:szCs w:val="21"/>
        </w:rPr>
        <w:t>从公司治理结构视角出发</w:t>
      </w:r>
      <w:r>
        <w:rPr>
          <w:rFonts w:asciiTheme="minorEastAsia" w:hAnsiTheme="minorEastAsia" w:hint="eastAsia"/>
          <w:sz w:val="21"/>
          <w:szCs w:val="21"/>
        </w:rPr>
        <w:t>,</w:t>
      </w:r>
      <w:r>
        <w:rPr>
          <w:rFonts w:asciiTheme="minorEastAsia" w:hAnsiTheme="minorEastAsia" w:hint="eastAsia"/>
          <w:sz w:val="21"/>
          <w:szCs w:val="21"/>
        </w:rPr>
        <w:t>对公司治理结构与公司创新效率关系进行了实证探讨。</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在对券商的公司治理方面，冯根福等</w:t>
      </w:r>
      <w:r>
        <w:rPr>
          <w:rFonts w:asciiTheme="minorEastAsia" w:hAnsiTheme="minorEastAsia" w:hint="eastAsia"/>
          <w:sz w:val="21"/>
          <w:szCs w:val="21"/>
          <w:vertAlign w:val="superscript"/>
        </w:rPr>
        <w:t>[9]</w:t>
      </w:r>
      <w:r>
        <w:rPr>
          <w:rFonts w:asciiTheme="minorEastAsia" w:hAnsiTheme="minorEastAsia" w:hint="eastAsia"/>
          <w:sz w:val="21"/>
          <w:szCs w:val="21"/>
        </w:rPr>
        <w:t>做了中国证券公司内部治理影</w:t>
      </w:r>
      <w:r>
        <w:rPr>
          <w:rFonts w:asciiTheme="minorEastAsia" w:hAnsiTheme="minorEastAsia" w:hint="eastAsia"/>
          <w:sz w:val="21"/>
          <w:szCs w:val="21"/>
        </w:rPr>
        <w:t>响公司经营效率的实证分析；汪来喜</w:t>
      </w:r>
      <w:r>
        <w:rPr>
          <w:rFonts w:asciiTheme="minorEastAsia" w:hAnsiTheme="minorEastAsia" w:hint="eastAsia"/>
          <w:sz w:val="21"/>
          <w:szCs w:val="21"/>
          <w:vertAlign w:val="superscript"/>
        </w:rPr>
        <w:t>[10]</w:t>
      </w:r>
      <w:r>
        <w:rPr>
          <w:rFonts w:asciiTheme="minorEastAsia" w:hAnsiTheme="minorEastAsia" w:hint="eastAsia"/>
          <w:sz w:val="21"/>
          <w:szCs w:val="21"/>
        </w:rPr>
        <w:t>则通过公司治理评价体系采用打分的方式对五家上市证券公司进行评价。</w:t>
      </w:r>
      <w:r>
        <w:rPr>
          <w:rFonts w:asciiTheme="minorEastAsia" w:hAnsiTheme="minorEastAsia" w:hint="eastAsia"/>
          <w:sz w:val="21"/>
          <w:szCs w:val="21"/>
        </w:rPr>
        <w:t xml:space="preserve">    </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这些研究表明了中国学者对于公司治理研究的重视和关注，推动了公司治理这一研究领域的发展。然而基于券商违规事件的公司治理分析，特别是在国家经济发展的重要阶段，如在十三五规划和股市的剧烈波动的背景下，国内尚缺乏有针对性的分析和研究。</w:t>
      </w:r>
    </w:p>
    <w:p w:rsidR="00950AD5" w:rsidRDefault="006F3A42">
      <w:pPr>
        <w:pStyle w:val="1"/>
        <w:spacing w:line="240" w:lineRule="auto"/>
        <w:rPr>
          <w:rFonts w:ascii="黑体" w:hAnsiTheme="minorEastAsia"/>
          <w:b w:val="0"/>
          <w:szCs w:val="28"/>
        </w:rPr>
      </w:pPr>
      <w:r>
        <w:rPr>
          <w:rFonts w:ascii="黑体" w:hAnsiTheme="minorEastAsia" w:hint="eastAsia"/>
          <w:b w:val="0"/>
          <w:szCs w:val="28"/>
        </w:rPr>
        <w:t>三</w:t>
      </w:r>
      <w:r>
        <w:rPr>
          <w:rFonts w:ascii="黑体" w:hAnsiTheme="minorEastAsia" w:hint="eastAsia"/>
          <w:b w:val="0"/>
          <w:szCs w:val="28"/>
        </w:rPr>
        <w:t xml:space="preserve"> </w:t>
      </w:r>
      <w:r>
        <w:rPr>
          <w:rFonts w:ascii="黑体" w:hAnsiTheme="minorEastAsia" w:hint="eastAsia"/>
          <w:b w:val="0"/>
          <w:szCs w:val="28"/>
        </w:rPr>
        <w:t>股市剧烈波动中券商股的作用分析</w:t>
      </w:r>
    </w:p>
    <w:p w:rsidR="00950AD5" w:rsidRDefault="006F3A42">
      <w:pPr>
        <w:ind w:firstLineChars="200" w:firstLine="420"/>
        <w:rPr>
          <w:rFonts w:asciiTheme="minorEastAsia" w:hAnsiTheme="minorEastAsia" w:cs="Times New Roman"/>
          <w:sz w:val="21"/>
          <w:szCs w:val="21"/>
        </w:rPr>
      </w:pPr>
      <w:r>
        <w:rPr>
          <w:rFonts w:asciiTheme="minorEastAsia" w:hAnsiTheme="minorEastAsia" w:cs="Times New Roman"/>
          <w:sz w:val="21"/>
          <w:szCs w:val="21"/>
        </w:rPr>
        <w:t>本文的研究框架和研究思路如图</w:t>
      </w:r>
      <w:r>
        <w:rPr>
          <w:rFonts w:asciiTheme="minorEastAsia" w:hAnsiTheme="minorEastAsia" w:cs="Times New Roman"/>
          <w:sz w:val="21"/>
          <w:szCs w:val="21"/>
        </w:rPr>
        <w:t>1</w:t>
      </w:r>
      <w:r>
        <w:rPr>
          <w:rFonts w:asciiTheme="minorEastAsia" w:hAnsiTheme="minorEastAsia" w:cs="Times New Roman"/>
          <w:sz w:val="21"/>
          <w:szCs w:val="21"/>
        </w:rPr>
        <w:t>所示：</w:t>
      </w:r>
    </w:p>
    <w:p w:rsidR="00950AD5" w:rsidRDefault="00950AD5">
      <w:pPr>
        <w:rPr>
          <w:rFonts w:ascii="Times New Roman" w:eastAsia="宋体" w:hAnsi="Times New Roman" w:cs="Times New Roman"/>
          <w:sz w:val="18"/>
          <w:szCs w:val="18"/>
        </w:rPr>
      </w:pPr>
      <w:r>
        <w:rPr>
          <w:rFonts w:ascii="Times New Roman" w:eastAsia="宋体" w:hAnsi="Times New Roman" w:cs="Times New Roman"/>
          <w:sz w:val="18"/>
          <w:szCs w:val="18"/>
        </w:rPr>
        <w:pict>
          <v:group id="_x0000_s1035" style="position:absolute;left:0;text-align:left;margin-left:6.45pt;margin-top:2.3pt;width:440.15pt;height:219pt;z-index:251659264" coordorigin="68514,-2356" coordsize="5589913,2495716203" o:gfxdata="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CoyovH1wAAAAgBAAAP&#10;AAAAAAAAAAEAIAAAACIAAABkcnMvZG93bnJldi54bWxQSwECFAAUAAAACACHTuJAjNYMYHAFAAAJ&#10;KgAADgAAAAAAAAABACAAAAAmAQAAZHJzL2Uyb0RvYy54bWxQSwUGAAAAAAYABgBZAQAACAkAAAAA&#10;">
            <v:roundrect id="_x0000_s1026" style="position:absolute;left:68514;top:7088;width:1595886;height:532388;v-text-anchor:middle" arcsize="10923f" o:gfxdata="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COu+5AAAA2wAA&#10;AA8AAAAAAAAAAQAgAAAAIgAAAGRycy9kb3ducmV2LnhtbFBLAQIUABQAAAAIAIdO4kAzLwWeOwAA&#10;ADkAAAAQAAAAAAAAAAEAIAAAAAgBAABkcnMvc2hhcGV4bWwueG1sUEsFBgAAAAAGAAYAWwEAALID&#10;AAAAAA==&#10;" strokecolor="#5b9bd5" strokeweight="1pt">
              <v:stroke joinstyle="miter"/>
              <v:textbox>
                <w:txbxContent>
                  <w:p w:rsidR="00950AD5" w:rsidRDefault="006F3A42">
                    <w:pPr>
                      <w:jc w:val="center"/>
                      <w:rPr>
                        <w:rFonts w:ascii="楷体" w:eastAsia="楷体" w:hAnsi="楷体"/>
                        <w:sz w:val="18"/>
                        <w:szCs w:val="18"/>
                      </w:rPr>
                    </w:pPr>
                    <w:r>
                      <w:rPr>
                        <w:rFonts w:ascii="楷体" w:eastAsia="楷体" w:hAnsi="楷体" w:hint="eastAsia"/>
                        <w:sz w:val="18"/>
                        <w:szCs w:val="18"/>
                      </w:rPr>
                      <w:t>股市剧烈波动中券商股的作用分析</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46" type="#_x0000_t94" style="position:absolute;left:739563;top:581255;width:219020;height:285750;rotation:90;v-text-anchor:middle" o:gfxdata="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N1NovQAA&#10;ANsAAAAPAAAAAAAAAAEAIAAAACIAAABkcnMvZG93bnJldi54bWxQSwECFAAUAAAACACHTuJAMy8F&#10;njsAAAA5AAAAEAAAAAAAAAABACAAAAAMAQAAZHJzL3NoYXBleG1sLnhtbFBLBQYAAAAABgAGAFsB&#10;AAC2AwAAAAA=&#10;" adj="10800" strokecolor="#5b9bd5" strokeweight="1pt"/>
            <v:roundrect id="_x0000_s1045" style="position:absolute;left:94393;top:860138;width:1595865;height:422468;v-text-anchor:middle" arcsize="10923f" o:gfxdata="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nAEDvQAA&#10;ANsAAAAPAAAAAAAAAAEAIAAAACIAAABkcnMvZG93bnJldi54bWxQSwECFAAUAAAACACHTuJAMy8F&#10;njsAAAA5AAAAEAAAAAAAAAABACAAAAAMAQAAZHJzL3NoYXBleG1sLnhtbFBLBQYAAAAABgAGAFsB&#10;AAC2AwAAAAA=&#10;" strokecolor="#5b9bd5" strokeweight="1pt">
              <v:stroke joinstyle="miter"/>
              <v:textbox>
                <w:txbxContent>
                  <w:p w:rsidR="00950AD5" w:rsidRDefault="006F3A42">
                    <w:pPr>
                      <w:jc w:val="center"/>
                      <w:rPr>
                        <w:rFonts w:ascii="楷体" w:eastAsia="楷体" w:hAnsi="楷体"/>
                        <w:sz w:val="18"/>
                        <w:szCs w:val="18"/>
                      </w:rPr>
                    </w:pPr>
                    <w:r>
                      <w:rPr>
                        <w:rFonts w:ascii="楷体" w:eastAsia="楷体" w:hAnsi="楷体" w:hint="eastAsia"/>
                        <w:sz w:val="18"/>
                        <w:szCs w:val="18"/>
                      </w:rPr>
                      <w:t>券商内部治理分析</w:t>
                    </w:r>
                  </w:p>
                </w:txbxContent>
              </v:textbox>
            </v:roundrect>
            <v:rect id="_x0000_s1044" style="position:absolute;left:2245454;width:2067171;height:260820;v-text-anchor:middle" o:gfxdata="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SsYUrsAAADb&#10;AAAADwAAAAAAAAABACAAAAAiAAAAZHJzL2Rvd25yZXYueG1sUEsBAhQAFAAAAAgAh07iQDMvBZ47&#10;AAAAOQAAABAAAAAAAAAAAQAgAAAACgEAAGRycy9zaGFwZXhtbC54bWxQSwUGAAAAAAYABgBbAQAA&#10;tAM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关于高管违规事件的研究</w:t>
                    </w:r>
                  </w:p>
                </w:txbxContent>
              </v:textbox>
            </v:rect>
            <v:rect id="_x0000_s1043" style="position:absolute;left:2245484;top:326882;width:2067253;height:266700;v-text-anchor:middle" o:gfxdata="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KAJrsAAADb&#10;AAAADwAAAAAAAAABACAAAAAiAAAAZHJzL2Rvd25yZXYueG1sUEsBAhQAFAAAAAgAh07iQDMvBZ47&#10;AAAAOQAAABAAAAAAAAAAAQAgAAAACgEAAGRycy9zaGFwZXhtbC54bWxQSwUGAAAAAAYABgBbAQAA&#10;tAM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重要股市指数波动的分析</w:t>
                    </w:r>
                  </w:p>
                </w:txbxContent>
              </v:textbox>
            </v:rect>
            <v:rect id="_x0000_s1042" style="position:absolute;left:2254640;top:1119960;width:1799742;height:266700;v-text-anchor:middle" o:gfxdata="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cu8q8AAAA&#10;2wAAAA8AAAAAAAAAAQAgAAAAIgAAAGRycy9kb3ducmV2LnhtbFBLAQIUABQAAAAIAIdO4kAzLwWe&#10;OwAAADkAAAAQAAAAAAAAAAEAIAAAAAsBAABkcnMvc2hhcGV4bWwueG1sUEsFBgAAAAAGAAYAWwEA&#10;ALUDA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高管违规问题的分析</w:t>
                    </w:r>
                  </w:p>
                </w:txbxContent>
              </v:textbox>
            </v:rect>
            <v:rect id="_x0000_s1041" style="position:absolute;left:2245454;top:715188;width:1799760;height:266700;v-text-anchor:middle" o:gfxdata="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QHlG8AAAA&#10;2wAAAA8AAAAAAAAAAQAgAAAAIgAAAGRycy9kb3ducmV2LnhtbFBLAQIUABQAAAAIAIdO4kAzLwWe&#10;OwAAADkAAAAQAAAAAAAAAAEAIAAAAAsBAABkcnMvc2hhcGV4bWwueG1sUEsFBgAAAAAGAAYAWwEA&#10;ALUDA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业务规范问题的分析</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1840841;top:-2356;width:247650;height:541812;v-text-anchor:middle" o:gfxdata="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KoIS/&#10;AAAA2wAAAA8AAAAAAAAAAQAgAAAAIgAAAGRycy9kb3ducmV2LnhtbFBLAQIUABQAAAAIAIdO4kAz&#10;LwWeOwAAADkAAAAQAAAAAAAAAAEAIAAAAA4BAABkcnMvc2hhcGV4bWwueG1sUEsFBgAAAAAGAAYA&#10;WwEAALgDAAAAAA==&#10;" adj="822" strokecolor="#5b9bd5" strokeweight=".5pt">
              <v:stroke joinstyle="miter"/>
            </v:shape>
            <v:shape id="_x0000_s1039" type="#_x0000_t87" style="position:absolute;left:1888056;top:766225;width:200025;height:526364;v-text-anchor:middle" o:gfxdata="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Izo28AAAA&#10;2wAAAA8AAAAAAAAAAQAgAAAAIgAAAGRycy9kb3ducmV2LnhtbFBLAQIUABQAAAAIAIdO4kAzLwWe&#10;OwAAADkAAAAQAAAAAAAAAAEAIAAAAAsBAABkcnMvc2hhcGV4bWwueG1sUEsFBgAAAAAGAAYAWwEA&#10;ALUDAAAAAA==&#10;" adj="683" strokecolor="#5b9bd5" strokeweight=".5pt">
              <v:stroke joinstyle="miter"/>
            </v:shape>
            <v:rect id="_x0000_s1038" style="position:absolute;left:4424774;top:566991;width:1233653;height:266700;v-text-anchor:middle" o:gfxdata="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stWO8AAAA&#10;2wAAAA8AAAAAAAAAAQAgAAAAIgAAAGRycy9kb3ducmV2LnhtbFBLAQIUABQAAAAIAIdO4kAzLwWe&#10;OwAAADkAAAAQAAAAAAAAAAEAIAAAAAsBAABkcnMvc2hhcGV4bWwueG1sUEsFBgAAAAAGAAYAWwEA&#10;ALUDA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非法融资融券</w:t>
                    </w:r>
                  </w:p>
                </w:txbxContent>
              </v:textbox>
            </v:rect>
            <v:rect id="_x0000_s1037" style="position:absolute;left:4424770;top:1012416;width:1233657;height:266700;v-text-anchor:middle" o:gfxdata="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visUvQAA&#10;ANsAAAAPAAAAAAAAAAEAIAAAACIAAABkcnMvZG93bnJldi54bWxQSwECFAAUAAAACACHTuJAMy8F&#10;njsAAAA5AAAAEAAAAAAAAAABACAAAAAMAQAAZHJzL3NoYXBleG1sLnhtbFBLBQYAAAAABgAGAFsB&#10;AAC2Aw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非法场外配资</w:t>
                    </w:r>
                  </w:p>
                </w:txbxContent>
              </v:textbox>
            </v:rect>
            <v:rect id="_x0000_s1036" style="position:absolute;left:2254640;top:2226660;width:1803382;height:266700;v-text-anchor:middle" o:gfxdata="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8o6PvQAA&#10;ANsAAAAPAAAAAAAAAAEAIAAAACIAAABkcnMvZG93bnJldi54bWxQSwECFAAUAAAACACHTuJAMy8F&#10;njsAAAA5AAAAEAAAAAAAAAABACAAAAAMAQAAZHJzL3NoYXBleG1sLnhtbFBLBQYAAAAABgAGAFsB&#10;AAC2Aw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券商研报问题的分析</w:t>
                    </w:r>
                  </w:p>
                </w:txbxContent>
              </v:textbox>
            </v:rect>
          </v:group>
        </w:pict>
      </w:r>
    </w:p>
    <w:p w:rsidR="00950AD5" w:rsidRDefault="00950AD5">
      <w:pPr>
        <w:rPr>
          <w:rFonts w:ascii="Times New Roman" w:eastAsia="宋体" w:hAnsi="Times New Roman" w:cs="Times New Roman"/>
        </w:rPr>
      </w:pPr>
    </w:p>
    <w:p w:rsidR="00950AD5" w:rsidRDefault="00950AD5">
      <w:pPr>
        <w:rPr>
          <w:rFonts w:ascii="Times New Roman" w:eastAsia="宋体" w:hAnsi="Times New Roman" w:cs="Times New Roman"/>
        </w:rPr>
      </w:pPr>
    </w:p>
    <w:p w:rsidR="00950AD5" w:rsidRDefault="00950AD5">
      <w:pPr>
        <w:rPr>
          <w:rFonts w:ascii="Times New Roman" w:eastAsia="宋体" w:hAnsi="Times New Roman" w:cs="Times New Roman"/>
        </w:rPr>
      </w:pPr>
      <w:r w:rsidRPr="00950AD5">
        <w:pict>
          <v:shape id="_x0000_s1034" type="#_x0000_t87" style="position:absolute;left:0;text-align:left;margin-left:332.45pt;margin-top:11.6pt;width:12.2pt;height:40.25pt;z-index:251667456;v-text-anchor:middle" o:gfxdata="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VDOJp2gAAAAoBAAAPAAAAAAAAAAEAIAAAACIAAABkcnMvZG93bnJldi54bWxQSwECFAAU&#10;AAAACACHTuJA9rt9amECAACUBAAADgAAAAAAAAABACAAAAApAQAAZHJzL2Uyb0RvYy54bWxQSwUG&#10;AAAAAAYABgBZAQAA/AUAAAAA&#10;" adj="545" strokecolor="#5b9bd5" strokeweight=".5pt">
            <v:stroke joinstyle="miter"/>
          </v:shape>
        </w:pict>
      </w:r>
    </w:p>
    <w:p w:rsidR="00950AD5" w:rsidRDefault="00950AD5">
      <w:pPr>
        <w:rPr>
          <w:rFonts w:ascii="Times New Roman" w:eastAsia="宋体" w:hAnsi="Times New Roman" w:cs="Times New Roman"/>
        </w:rPr>
      </w:pPr>
    </w:p>
    <w:p w:rsidR="00950AD5" w:rsidRDefault="00950AD5">
      <w:pPr>
        <w:rPr>
          <w:rFonts w:ascii="Times New Roman" w:eastAsia="宋体" w:hAnsi="Times New Roman" w:cs="Times New Roman"/>
        </w:rPr>
      </w:pPr>
    </w:p>
    <w:p w:rsidR="00950AD5" w:rsidRDefault="00950AD5">
      <w:pPr>
        <w:rPr>
          <w:rFonts w:ascii="Times New Roman" w:eastAsia="宋体" w:hAnsi="Times New Roman" w:cs="Times New Roman"/>
        </w:rPr>
      </w:pPr>
    </w:p>
    <w:p w:rsidR="00950AD5" w:rsidRDefault="00950AD5">
      <w:pPr>
        <w:rPr>
          <w:rFonts w:ascii="Times New Roman" w:eastAsia="宋体" w:hAnsi="Times New Roman" w:cs="Times New Roman"/>
        </w:rPr>
      </w:pPr>
      <w:r w:rsidRPr="00950AD5">
        <w:pict>
          <v:rect id="_x0000_s1033" style="position:absolute;left:0;text-align:left;margin-left:178.55pt;margin-top:16.15pt;width:141.9pt;height:23.4pt;z-index:251673600;v-text-anchor:middle" o:gfxdata="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v8KT7YAAAACQEAAA8AAAAAAAAAAQAgAAAAIgAAAGRycy9kb3ducmV2&#10;LnhtbFBLAQIUABQAAAAIAIdO4kCAXjYobgIAAM8EAAAOAAAAAAAAAAEAIAAAACcBAABkcnMvZTJv&#10;RG9jLnhtbFBLBQYAAAAABgAGAFkBAAAHBgAAAAA=&#10;" strokecolor="#5b9bd5" strokeweight="1pt">
            <v:textbox>
              <w:txbxContent>
                <w:p w:rsidR="00950AD5" w:rsidRDefault="006F3A42">
                  <w:pPr>
                    <w:jc w:val="center"/>
                    <w:rPr>
                      <w:rFonts w:ascii="楷体" w:eastAsia="楷体" w:hAnsi="楷体"/>
                      <w:sz w:val="18"/>
                      <w:szCs w:val="18"/>
                    </w:rPr>
                  </w:pPr>
                  <w:r>
                    <w:rPr>
                      <w:rFonts w:ascii="楷体" w:eastAsia="楷体" w:hAnsi="楷体" w:hint="eastAsia"/>
                      <w:sz w:val="18"/>
                      <w:szCs w:val="18"/>
                    </w:rPr>
                    <w:t>股市整合治理的提出</w:t>
                  </w:r>
                  <w:r>
                    <w:rPr>
                      <w:rFonts w:ascii="楷体" w:eastAsia="楷体" w:hAnsi="楷体" w:hint="eastAsia"/>
                      <w:noProof/>
                      <w:sz w:val="18"/>
                      <w:szCs w:val="18"/>
                    </w:rPr>
                    <w:drawing>
                      <wp:inline distT="0" distB="0" distL="0" distR="0">
                        <wp:extent cx="1606550"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06550" cy="267477"/>
                                </a:xfrm>
                                <a:prstGeom prst="rect">
                                  <a:avLst/>
                                </a:prstGeom>
                                <a:noFill/>
                                <a:ln>
                                  <a:noFill/>
                                </a:ln>
                              </pic:spPr>
                            </pic:pic>
                          </a:graphicData>
                        </a:graphic>
                      </wp:inline>
                    </w:drawing>
                  </w:r>
                </w:p>
              </w:txbxContent>
            </v:textbox>
          </v:rect>
        </w:pict>
      </w:r>
      <w:r w:rsidRPr="00950AD5">
        <w:pict>
          <v:shape id="_x0000_s1032" type="#_x0000_t87" style="position:absolute;left:0;text-align:left;margin-left:149.8pt;margin-top:15.75pt;width:15.7pt;height:83.4pt;z-index:251671552;v-text-anchor:middle" o:gfxdata="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3hJ42gAAAAoBAAAPAAAAAAAAAAEAIAAAACIAAABkcnMvZG93bnJldi54bWxQSwEC&#10;FAAUAAAACACHTuJAmNOQoGQCAACVBAAADgAAAAAAAAABACAAAAApAQAAZHJzL2Uyb0RvYy54bWxQ&#10;SwUGAAAAAAYABgBZAQAA/wUAAAAA&#10;" adj="338" strokecolor="#5b9bd5" strokeweight=".5pt">
            <v:stroke joinstyle="miter"/>
          </v:shape>
        </w:pict>
      </w:r>
      <w:r w:rsidRPr="00950AD5">
        <w:pict>
          <v:shape id="_x0000_s1031" type="#_x0000_t94" style="position:absolute;left:0;text-align:left;margin-left:58.75pt;margin-top:1.85pt;width:18.25pt;height:22.45pt;rotation:90;z-index:251669504;v-text-anchor:middle" o:gfxdata="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2Rk53YAAAACAEA&#10;AA8AAAAAAAAAAQAgAAAAIgAAAGRycy9kb3ducmV2LnhtbFBLAQIUABQAAAAIAIdO4kADfxnzjAIA&#10;AOcEAAAOAAAAAAAAAAEAIAAAACcBAABkcnMvZTJvRG9jLnhtbFBLBQYAAAAABgAGAFkBAAAlBgAA&#10;AAA=&#10;" adj="10800" strokecolor="#5b9bd5" strokeweight="1pt"/>
        </w:pict>
      </w:r>
    </w:p>
    <w:p w:rsidR="00950AD5" w:rsidRDefault="00950AD5">
      <w:pPr>
        <w:rPr>
          <w:rFonts w:ascii="Times New Roman" w:eastAsia="宋体" w:hAnsi="Times New Roman" w:cs="Times New Roman"/>
        </w:rPr>
      </w:pPr>
      <w:r w:rsidRPr="00950AD5">
        <w:pict>
          <v:roundrect id="_x0000_s1030" style="position:absolute;left:0;text-align:left;margin-left:6.4pt;margin-top:8.7pt;width:129.05pt;height:37.35pt;z-index:251663360;v-text-anchor:middle" arcsize="10923f" o:gfxdata="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kgmST1wAAAAgBAAAPAAAAAAAA&#10;AAEAIAAAACIAAABkcnMvZG93bnJldi54bWxQSwECFAAUAAAACACHTuJAMMdUXYUCAADaBAAADgAA&#10;AAAAAAABACAAAAAmAQAAZHJzL2Uyb0RvYy54bWxQSwUGAAAAAAYABgBZAQAAHQYAAAAA&#10;" strokecolor="#5b9bd5" strokeweight="1pt">
            <v:stroke joinstyle="miter"/>
            <v:textbox>
              <w:txbxContent>
                <w:p w:rsidR="00950AD5" w:rsidRDefault="006F3A42">
                  <w:pPr>
                    <w:jc w:val="center"/>
                    <w:rPr>
                      <w:rFonts w:ascii="楷体" w:eastAsia="楷体" w:hAnsi="楷体"/>
                      <w:sz w:val="18"/>
                      <w:szCs w:val="18"/>
                    </w:rPr>
                  </w:pPr>
                  <w:r>
                    <w:rPr>
                      <w:rFonts w:ascii="楷体" w:eastAsia="楷体" w:hAnsi="楷体" w:hint="eastAsia"/>
                      <w:sz w:val="18"/>
                      <w:szCs w:val="18"/>
                    </w:rPr>
                    <w:t>券商外部治理分析</w:t>
                  </w:r>
                </w:p>
              </w:txbxContent>
            </v:textbox>
          </v:roundrect>
        </w:pict>
      </w:r>
    </w:p>
    <w:p w:rsidR="00950AD5" w:rsidRDefault="00950AD5">
      <w:pPr>
        <w:rPr>
          <w:rFonts w:ascii="Times New Roman" w:eastAsia="宋体" w:hAnsi="Times New Roman" w:cs="Times New Roman"/>
        </w:rPr>
      </w:pPr>
    </w:p>
    <w:p w:rsidR="00950AD5" w:rsidRDefault="00950AD5">
      <w:pPr>
        <w:rPr>
          <w:rFonts w:ascii="Times New Roman" w:eastAsia="宋体" w:hAnsi="Times New Roman" w:cs="Times New Roman"/>
        </w:rPr>
      </w:pPr>
      <w:r w:rsidRPr="00950AD5">
        <w:pict>
          <v:shape id="_x0000_s1029" type="#_x0000_t94" style="position:absolute;left:0;text-align:left;margin-left:59.9pt;margin-top:15.15pt;width:16.75pt;height:22.45pt;rotation:90;z-index:251681792;v-text-anchor:middle" o:gfxdata="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AYmmrZAAAACQEA&#10;AA8AAAAAAAAAAQAgAAAAIgAAAGRycy9kb3ducmV2LnhtbFBLAQIUABQAAAAIAIdO4kBhMNs/iwIA&#10;AOkEAAAOAAAAAAAAAAEAIAAAACgBAABkcnMvZTJvRG9jLnhtbFBLBQYAAAAABgAGAFkBAAAlBgAA&#10;AAA=&#10;" adj="10800" strokecolor="#5b9bd5" strokeweight="1pt"/>
        </w:pict>
      </w:r>
      <w:r w:rsidRPr="00950AD5">
        <w:pict>
          <v:rect id="_x0000_s1028" style="position:absolute;left:0;text-align:left;margin-left:178.6pt;margin-top:1.1pt;width:141.9pt;height:23.4pt;z-index:251675648;v-text-anchor:middle" o:gfxdata="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UVImXXAAAACAEAAA8AAAAAAAAAAQAgAAAAIgAAAGRycy9kb3ducmV2&#10;LnhtbFBLAQIUABQAAAAIAIdO4kCfFuHJbwIAANEEAAAOAAAAAAAAAAEAIAAAACYBAABkcnMvZTJv&#10;RG9jLnhtbFBLBQYAAAAABgAGAFkBAAAHBgAAAAA=&#10;" strokecolor="#5b9bd5" strokeweight="1pt">
            <v:textbox>
              <w:txbxContent>
                <w:p w:rsidR="00950AD5" w:rsidRDefault="006F3A42">
                  <w:pPr>
                    <w:jc w:val="center"/>
                    <w:rPr>
                      <w:sz w:val="21"/>
                      <w:szCs w:val="21"/>
                    </w:rPr>
                  </w:pPr>
                  <w:r>
                    <w:rPr>
                      <w:rFonts w:ascii="楷体" w:eastAsia="楷体" w:hAnsi="楷体" w:hint="eastAsia"/>
                      <w:sz w:val="18"/>
                      <w:szCs w:val="18"/>
                    </w:rPr>
                    <w:t>信息披露问题的分析</w:t>
                  </w:r>
                  <w:r>
                    <w:rPr>
                      <w:rFonts w:hint="eastAsia"/>
                      <w:noProof/>
                      <w:sz w:val="21"/>
                      <w:szCs w:val="21"/>
                    </w:rPr>
                    <w:drawing>
                      <wp:inline distT="0" distB="0" distL="0" distR="0">
                        <wp:extent cx="1606550" cy="26733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06550" cy="267477"/>
                                </a:xfrm>
                                <a:prstGeom prst="rect">
                                  <a:avLst/>
                                </a:prstGeom>
                                <a:noFill/>
                                <a:ln>
                                  <a:noFill/>
                                </a:ln>
                              </pic:spPr>
                            </pic:pic>
                          </a:graphicData>
                        </a:graphic>
                      </wp:inline>
                    </w:drawing>
                  </w:r>
                </w:p>
              </w:txbxContent>
            </v:textbox>
          </v:rect>
        </w:pict>
      </w:r>
    </w:p>
    <w:p w:rsidR="00950AD5" w:rsidRDefault="00950AD5">
      <w:pPr>
        <w:rPr>
          <w:rFonts w:ascii="Times New Roman" w:eastAsia="宋体" w:hAnsi="Times New Roman" w:cs="Times New Roman"/>
        </w:rPr>
      </w:pPr>
    </w:p>
    <w:p w:rsidR="00950AD5" w:rsidRDefault="00950AD5">
      <w:pPr>
        <w:rPr>
          <w:rFonts w:asciiTheme="minorEastAsia" w:hAnsiTheme="minorEastAsia"/>
          <w:sz w:val="21"/>
          <w:szCs w:val="21"/>
        </w:rPr>
      </w:pPr>
      <w:r w:rsidRPr="00950AD5">
        <w:pict>
          <v:roundrect id="_x0000_s1027" style="position:absolute;left:0;text-align:left;margin-left:8.45pt;margin-top:4.15pt;width:129.05pt;height:32.6pt;z-index:251679744;v-text-anchor:middle" arcsize="10923f" o:gfxdata="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oY4o1gAAAAcBAAAPAAAAAAAA&#10;AAEAIAAAACIAAABkcnMvZG93bnJldi54bWxQSwECFAAUAAAACACHTuJAKq3siYYCAADaBAAADgAA&#10;AAAAAAABACAAAAAlAQAAZHJzL2Uyb0RvYy54bWxQSwUGAAAAAAYABgBZAQAAHQYAAAAA&#10;" strokecolor="#5b9bd5" strokeweight="1pt">
            <v:stroke joinstyle="miter"/>
            <v:textbox>
              <w:txbxContent>
                <w:p w:rsidR="00950AD5" w:rsidRDefault="006F3A42">
                  <w:pPr>
                    <w:jc w:val="center"/>
                    <w:rPr>
                      <w:rFonts w:ascii="楷体" w:eastAsia="楷体" w:hAnsi="楷体"/>
                      <w:sz w:val="18"/>
                      <w:szCs w:val="18"/>
                    </w:rPr>
                  </w:pPr>
                  <w:r>
                    <w:rPr>
                      <w:rFonts w:ascii="楷体" w:eastAsia="楷体" w:hAnsi="楷体" w:hint="eastAsia"/>
                      <w:sz w:val="18"/>
                      <w:szCs w:val="18"/>
                    </w:rPr>
                    <w:t>结语与展望</w:t>
                  </w:r>
                </w:p>
              </w:txbxContent>
            </v:textbox>
          </v:roundrect>
        </w:pict>
      </w:r>
    </w:p>
    <w:p w:rsidR="00950AD5" w:rsidRDefault="00950AD5">
      <w:pPr>
        <w:rPr>
          <w:rFonts w:asciiTheme="minorEastAsia" w:hAnsiTheme="minorEastAsia"/>
          <w:sz w:val="21"/>
          <w:szCs w:val="21"/>
        </w:rPr>
      </w:pPr>
    </w:p>
    <w:p w:rsidR="00950AD5" w:rsidRDefault="006F3A42" w:rsidP="00472F0E">
      <w:pPr>
        <w:ind w:firstLineChars="1827" w:firstLine="3289"/>
        <w:rPr>
          <w:rFonts w:ascii="黑体" w:eastAsia="黑体" w:hAnsiTheme="minorEastAsia"/>
          <w:b/>
          <w:sz w:val="18"/>
          <w:szCs w:val="18"/>
        </w:rPr>
      </w:pPr>
      <w:r>
        <w:rPr>
          <w:rFonts w:ascii="黑体" w:eastAsia="黑体" w:hAnsiTheme="minorEastAsia" w:hint="eastAsia"/>
          <w:b/>
          <w:sz w:val="18"/>
          <w:szCs w:val="18"/>
        </w:rPr>
        <w:t>图</w:t>
      </w:r>
      <w:r>
        <w:rPr>
          <w:rFonts w:ascii="黑体" w:eastAsia="黑体" w:hAnsiTheme="minorEastAsia" w:hint="eastAsia"/>
          <w:b/>
          <w:sz w:val="18"/>
          <w:szCs w:val="18"/>
        </w:rPr>
        <w:t>1:</w:t>
      </w:r>
      <w:r>
        <w:rPr>
          <w:rFonts w:ascii="黑体" w:eastAsia="黑体" w:hAnsiTheme="minorEastAsia" w:hint="eastAsia"/>
          <w:b/>
          <w:sz w:val="18"/>
          <w:szCs w:val="18"/>
        </w:rPr>
        <w:t>研究框架和研究思路</w:t>
      </w:r>
    </w:p>
    <w:p w:rsidR="00950AD5" w:rsidRDefault="006F3A42">
      <w:pPr>
        <w:ind w:leftChars="200" w:left="480"/>
        <w:rPr>
          <w:rFonts w:asciiTheme="minorEastAsia" w:hAnsiTheme="minorEastAsia"/>
          <w:sz w:val="21"/>
          <w:szCs w:val="21"/>
        </w:rPr>
      </w:pPr>
      <w:r>
        <w:rPr>
          <w:rFonts w:asciiTheme="minorEastAsia" w:hAnsiTheme="minorEastAsia" w:hint="eastAsia"/>
          <w:sz w:val="21"/>
          <w:szCs w:val="21"/>
        </w:rPr>
        <w:t>为探究券商对于股市的影响程度，本节从以下两个方面进行具体分析：</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1</w:t>
      </w:r>
      <w:r>
        <w:rPr>
          <w:rFonts w:asciiTheme="minorEastAsia" w:hAnsiTheme="minorEastAsia" w:hint="eastAsia"/>
          <w:sz w:val="21"/>
          <w:szCs w:val="21"/>
        </w:rPr>
        <w:t>）选取</w:t>
      </w:r>
      <w:r>
        <w:rPr>
          <w:rFonts w:asciiTheme="minorEastAsia" w:hAnsiTheme="minorEastAsia" w:hint="eastAsia"/>
          <w:sz w:val="21"/>
          <w:szCs w:val="21"/>
        </w:rPr>
        <w:t>2015</w:t>
      </w:r>
      <w:r>
        <w:rPr>
          <w:rFonts w:asciiTheme="minorEastAsia" w:hAnsiTheme="minorEastAsia" w:hint="eastAsia"/>
          <w:sz w:val="21"/>
          <w:szCs w:val="21"/>
        </w:rPr>
        <w:t>年券商高管违规或重大事件进行事件研究，分析其对股市的影响。</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2</w:t>
      </w:r>
      <w:r>
        <w:rPr>
          <w:rFonts w:asciiTheme="minorEastAsia" w:hAnsiTheme="minorEastAsia" w:hint="eastAsia"/>
          <w:sz w:val="21"/>
          <w:szCs w:val="21"/>
        </w:rPr>
        <w:t>）选取股市剧烈波动期间</w:t>
      </w:r>
      <w:r>
        <w:rPr>
          <w:rFonts w:asciiTheme="minorEastAsia" w:hAnsiTheme="minorEastAsia" w:hint="eastAsia"/>
          <w:sz w:val="21"/>
          <w:szCs w:val="21"/>
        </w:rPr>
        <w:t>2</w:t>
      </w:r>
      <w:r>
        <w:rPr>
          <w:rFonts w:asciiTheme="minorEastAsia" w:hAnsiTheme="minorEastAsia" w:hint="eastAsia"/>
          <w:sz w:val="21"/>
          <w:szCs w:val="21"/>
        </w:rPr>
        <w:t>个快速上涨时期及</w:t>
      </w:r>
      <w:r>
        <w:rPr>
          <w:rFonts w:asciiTheme="minorEastAsia" w:hAnsiTheme="minorEastAsia" w:hint="eastAsia"/>
          <w:sz w:val="21"/>
          <w:szCs w:val="21"/>
        </w:rPr>
        <w:t>2</w:t>
      </w:r>
      <w:r>
        <w:rPr>
          <w:rFonts w:asciiTheme="minorEastAsia" w:hAnsiTheme="minorEastAsia" w:hint="eastAsia"/>
          <w:sz w:val="21"/>
          <w:szCs w:val="21"/>
        </w:rPr>
        <w:t>个快速下跌时期，利用成对双样本</w:t>
      </w:r>
      <w:r>
        <w:rPr>
          <w:rFonts w:asciiTheme="minorEastAsia" w:hAnsiTheme="minorEastAsia" w:hint="eastAsia"/>
          <w:sz w:val="21"/>
          <w:szCs w:val="21"/>
        </w:rPr>
        <w:lastRenderedPageBreak/>
        <w:t>均值分析方法，分别将上证指数、深证成指的日收益率与同花顺证券板块日收益率进行检验。数据来源于搜狐证券。</w:t>
      </w:r>
    </w:p>
    <w:p w:rsidR="00950AD5" w:rsidRDefault="006F3A42">
      <w:pPr>
        <w:pStyle w:val="2"/>
        <w:spacing w:line="240" w:lineRule="auto"/>
        <w:rPr>
          <w:rFonts w:ascii="黑体" w:eastAsia="黑体" w:hAnsiTheme="minorEastAsia"/>
          <w:b w:val="0"/>
          <w:sz w:val="24"/>
          <w:szCs w:val="24"/>
        </w:rPr>
      </w:pPr>
      <w:r>
        <w:rPr>
          <w:rFonts w:ascii="黑体" w:eastAsia="黑体" w:hAnsiTheme="minorEastAsia" w:hint="eastAsia"/>
          <w:b w:val="0"/>
          <w:sz w:val="24"/>
          <w:szCs w:val="24"/>
        </w:rPr>
        <w:t>(</w:t>
      </w:r>
      <w:r>
        <w:rPr>
          <w:rFonts w:ascii="黑体" w:eastAsia="黑体" w:hAnsiTheme="minorEastAsia" w:hint="eastAsia"/>
          <w:b w:val="0"/>
          <w:sz w:val="24"/>
          <w:szCs w:val="24"/>
        </w:rPr>
        <w:t>一</w:t>
      </w:r>
      <w:r>
        <w:rPr>
          <w:rFonts w:ascii="黑体" w:eastAsia="黑体" w:hAnsiTheme="minorEastAsia" w:hint="eastAsia"/>
          <w:b w:val="0"/>
          <w:sz w:val="24"/>
          <w:szCs w:val="24"/>
        </w:rPr>
        <w:t xml:space="preserve">) </w:t>
      </w:r>
      <w:r>
        <w:rPr>
          <w:rFonts w:ascii="黑体" w:eastAsia="黑体" w:hAnsiTheme="minorEastAsia" w:hint="eastAsia"/>
          <w:b w:val="0"/>
          <w:sz w:val="24"/>
          <w:szCs w:val="24"/>
        </w:rPr>
        <w:t>关于高管违规事件的研究</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9</w:t>
      </w:r>
      <w:r>
        <w:rPr>
          <w:rFonts w:asciiTheme="minorEastAsia" w:hAnsiTheme="minorEastAsia" w:hint="eastAsia"/>
          <w:sz w:val="21"/>
          <w:szCs w:val="21"/>
        </w:rPr>
        <w:t>月</w:t>
      </w:r>
      <w:r>
        <w:rPr>
          <w:rFonts w:asciiTheme="minorEastAsia" w:hAnsiTheme="minorEastAsia" w:hint="eastAsia"/>
          <w:sz w:val="21"/>
          <w:szCs w:val="21"/>
        </w:rPr>
        <w:t>15</w:t>
      </w:r>
      <w:r>
        <w:rPr>
          <w:rFonts w:asciiTheme="minorEastAsia" w:hAnsiTheme="minorEastAsia" w:hint="eastAsia"/>
          <w:sz w:val="21"/>
          <w:szCs w:val="21"/>
        </w:rPr>
        <w:t>日，中信证券总经理程博明等人因涉嫌内幕交易、泄露内幕信息被公安机关依法要求接受调查。</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10</w:t>
      </w:r>
      <w:r>
        <w:rPr>
          <w:rFonts w:asciiTheme="minorEastAsia" w:hAnsiTheme="minorEastAsia" w:hint="eastAsia"/>
          <w:sz w:val="21"/>
          <w:szCs w:val="21"/>
        </w:rPr>
        <w:t>月</w:t>
      </w:r>
      <w:r>
        <w:rPr>
          <w:rFonts w:asciiTheme="minorEastAsia" w:hAnsiTheme="minorEastAsia" w:hint="eastAsia"/>
          <w:sz w:val="21"/>
          <w:szCs w:val="21"/>
        </w:rPr>
        <w:t>23</w:t>
      </w:r>
      <w:r>
        <w:rPr>
          <w:rFonts w:asciiTheme="minorEastAsia" w:hAnsiTheme="minorEastAsia" w:hint="eastAsia"/>
          <w:sz w:val="21"/>
          <w:szCs w:val="21"/>
        </w:rPr>
        <w:t>日，国信证券总裁陈鸿桥在家中自杀身亡。针对这</w:t>
      </w:r>
      <w:r>
        <w:rPr>
          <w:rFonts w:asciiTheme="minorEastAsia" w:hAnsiTheme="minorEastAsia" w:hint="eastAsia"/>
          <w:sz w:val="21"/>
          <w:szCs w:val="21"/>
        </w:rPr>
        <w:t>2</w:t>
      </w:r>
      <w:r>
        <w:rPr>
          <w:rFonts w:asciiTheme="minorEastAsia" w:hAnsiTheme="minorEastAsia" w:hint="eastAsia"/>
          <w:sz w:val="21"/>
          <w:szCs w:val="21"/>
        </w:rPr>
        <w:t>起事件，本文参照事件研究法的基本步骤：</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1</w:t>
      </w:r>
      <w:r>
        <w:rPr>
          <w:rFonts w:asciiTheme="minorEastAsia" w:hAnsiTheme="minorEastAsia" w:hint="eastAsia"/>
          <w:sz w:val="21"/>
          <w:szCs w:val="21"/>
        </w:rPr>
        <w:t>）确定评估窗和事件窗</w:t>
      </w:r>
      <w:r>
        <w:rPr>
          <w:rFonts w:asciiTheme="minorEastAsia" w:hAnsiTheme="minorEastAsia" w:hint="eastAsia"/>
          <w:sz w:val="21"/>
          <w:szCs w:val="21"/>
        </w:rPr>
        <w:t>:</w:t>
      </w:r>
      <w:r>
        <w:rPr>
          <w:rFonts w:asciiTheme="minorEastAsia" w:hAnsiTheme="minorEastAsia" w:hint="eastAsia"/>
          <w:sz w:val="21"/>
          <w:szCs w:val="21"/>
        </w:rPr>
        <w:t>将评估窗设定为事件发生前的（</w:t>
      </w:r>
      <w:r>
        <w:rPr>
          <w:rFonts w:asciiTheme="minorEastAsia" w:hAnsiTheme="minorEastAsia" w:hint="eastAsia"/>
          <w:sz w:val="21"/>
          <w:szCs w:val="21"/>
        </w:rPr>
        <w:t>-46</w:t>
      </w:r>
      <w:r>
        <w:rPr>
          <w:rFonts w:asciiTheme="minorEastAsia" w:hAnsiTheme="minorEastAsia" w:hint="eastAsia"/>
          <w:sz w:val="21"/>
          <w:szCs w:val="21"/>
        </w:rPr>
        <w:t>，</w:t>
      </w:r>
      <w:r>
        <w:rPr>
          <w:rFonts w:asciiTheme="minorEastAsia" w:hAnsiTheme="minorEastAsia" w:hint="eastAsia"/>
          <w:sz w:val="21"/>
          <w:szCs w:val="21"/>
        </w:rPr>
        <w:t>-6</w:t>
      </w:r>
      <w:r>
        <w:rPr>
          <w:rFonts w:asciiTheme="minorEastAsia" w:hAnsiTheme="minorEastAsia" w:hint="eastAsia"/>
          <w:sz w:val="21"/>
          <w:szCs w:val="21"/>
        </w:rPr>
        <w:t>）天，事件窗设定为（</w:t>
      </w:r>
      <w:r>
        <w:rPr>
          <w:rFonts w:asciiTheme="minorEastAsia" w:hAnsiTheme="minorEastAsia" w:hint="eastAsia"/>
          <w:sz w:val="21"/>
          <w:szCs w:val="21"/>
        </w:rPr>
        <w:t>-6</w:t>
      </w:r>
      <w:r>
        <w:rPr>
          <w:rFonts w:asciiTheme="minorEastAsia" w:hAnsiTheme="minorEastAsia" w:hint="eastAsia"/>
          <w:sz w:val="21"/>
          <w:szCs w:val="21"/>
        </w:rPr>
        <w:t>，</w:t>
      </w:r>
      <w:r>
        <w:rPr>
          <w:rFonts w:asciiTheme="minorEastAsia" w:hAnsiTheme="minorEastAsia" w:hint="eastAsia"/>
          <w:sz w:val="21"/>
          <w:szCs w:val="21"/>
        </w:rPr>
        <w:t>6</w:t>
      </w:r>
      <w:r>
        <w:rPr>
          <w:rFonts w:asciiTheme="minorEastAsia" w:hAnsiTheme="minorEastAsia" w:hint="eastAsia"/>
          <w:sz w:val="21"/>
          <w:szCs w:val="21"/>
        </w:rPr>
        <w:t>）天（由于事件的时效性，这里忽略后事件窗）；</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2</w:t>
      </w:r>
      <w:r>
        <w:rPr>
          <w:rFonts w:asciiTheme="minorEastAsia" w:hAnsiTheme="minorEastAsia" w:hint="eastAsia"/>
          <w:sz w:val="21"/>
          <w:szCs w:val="21"/>
        </w:rPr>
        <w:t>）计算正常收益与异常收益</w:t>
      </w:r>
      <w:r>
        <w:rPr>
          <w:rFonts w:asciiTheme="minorEastAsia" w:hAnsiTheme="minorEastAsia" w:hint="eastAsia"/>
          <w:sz w:val="21"/>
          <w:szCs w:val="21"/>
        </w:rPr>
        <w:t>:</w:t>
      </w:r>
      <w:r>
        <w:rPr>
          <w:rFonts w:asciiTheme="minorEastAsia" w:hAnsiTheme="minorEastAsia" w:hint="eastAsia"/>
          <w:sz w:val="21"/>
          <w:szCs w:val="21"/>
        </w:rPr>
        <w:t>本文采用市场模型作为正常收益模型，即：</w:t>
      </w:r>
    </w:p>
    <w:p w:rsidR="00950AD5" w:rsidRDefault="006F3A42">
      <w:pPr>
        <w:ind w:firstLine="480"/>
        <w:jc w:val="right"/>
        <w:rPr>
          <w:rFonts w:asciiTheme="minorEastAsia" w:hAnsiTheme="minorEastAsia"/>
          <w:sz w:val="21"/>
          <w:szCs w:val="21"/>
          <w:vertAlign w:val="subscript"/>
        </w:rPr>
      </w:pPr>
      <w:r>
        <w:rPr>
          <w:rFonts w:asciiTheme="minorEastAsia" w:hAnsiTheme="minorEastAsia" w:hint="eastAsia"/>
          <w:sz w:val="21"/>
          <w:szCs w:val="21"/>
        </w:rPr>
        <w:t xml:space="preserve">                           (1)</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其中为该证券在</w:t>
      </w:r>
      <w:r>
        <w:rPr>
          <w:rFonts w:asciiTheme="minorEastAsia" w:hAnsiTheme="minorEastAsia" w:hint="eastAsia"/>
          <w:i/>
          <w:sz w:val="21"/>
          <w:szCs w:val="21"/>
        </w:rPr>
        <w:t>t</w:t>
      </w:r>
      <w:r>
        <w:rPr>
          <w:rFonts w:asciiTheme="minorEastAsia" w:hAnsiTheme="minorEastAsia" w:hint="eastAsia"/>
          <w:sz w:val="21"/>
          <w:szCs w:val="21"/>
        </w:rPr>
        <w:t>日的日收益率，为沪深</w:t>
      </w:r>
      <w:r>
        <w:rPr>
          <w:rFonts w:asciiTheme="minorEastAsia" w:hAnsiTheme="minorEastAsia" w:hint="eastAsia"/>
          <w:sz w:val="21"/>
          <w:szCs w:val="21"/>
        </w:rPr>
        <w:t>300</w:t>
      </w:r>
      <w:r>
        <w:rPr>
          <w:rFonts w:asciiTheme="minorEastAsia" w:hAnsiTheme="minorEastAsia" w:hint="eastAsia"/>
          <w:sz w:val="21"/>
          <w:szCs w:val="21"/>
        </w:rPr>
        <w:t>指数</w:t>
      </w:r>
      <w:r>
        <w:rPr>
          <w:rFonts w:asciiTheme="minorEastAsia" w:hAnsiTheme="minorEastAsia" w:hint="eastAsia"/>
          <w:i/>
          <w:sz w:val="21"/>
          <w:szCs w:val="21"/>
        </w:rPr>
        <w:t>t</w:t>
      </w:r>
      <w:r>
        <w:rPr>
          <w:rFonts w:asciiTheme="minorEastAsia" w:hAnsiTheme="minorEastAsia" w:hint="eastAsia"/>
          <w:sz w:val="21"/>
          <w:szCs w:val="21"/>
        </w:rPr>
        <w:t>日的日收益率，</w:t>
      </w:r>
      <w:r>
        <w:rPr>
          <w:rFonts w:asciiTheme="minorEastAsia" w:hAnsiTheme="minorEastAsia" w:hint="eastAsia"/>
          <w:i/>
          <w:sz w:val="21"/>
          <w:szCs w:val="21"/>
        </w:rPr>
        <w:t>a</w:t>
      </w:r>
      <w:r>
        <w:rPr>
          <w:rFonts w:asciiTheme="minorEastAsia" w:hAnsiTheme="minorEastAsia" w:hint="eastAsia"/>
          <w:sz w:val="21"/>
          <w:szCs w:val="21"/>
        </w:rPr>
        <w:t>、</w:t>
      </w:r>
      <w:r>
        <w:rPr>
          <w:rFonts w:asciiTheme="minorEastAsia" w:hAnsiTheme="minorEastAsia" w:hint="eastAsia"/>
          <w:i/>
          <w:sz w:val="21"/>
          <w:szCs w:val="21"/>
        </w:rPr>
        <w:t>b</w:t>
      </w:r>
      <w:r>
        <w:rPr>
          <w:rFonts w:asciiTheme="minorEastAsia" w:hAnsiTheme="minorEastAsia" w:hint="eastAsia"/>
          <w:sz w:val="21"/>
          <w:szCs w:val="21"/>
        </w:rPr>
        <w:t>为模型估计参数，为残差。</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利用市场模型可以得到参数</w:t>
      </w:r>
      <w:r>
        <w:rPr>
          <w:rFonts w:asciiTheme="minorEastAsia" w:hAnsiTheme="minorEastAsia" w:hint="eastAsia"/>
          <w:i/>
          <w:sz w:val="21"/>
          <w:szCs w:val="21"/>
        </w:rPr>
        <w:t>a</w:t>
      </w:r>
      <w:r>
        <w:rPr>
          <w:rFonts w:asciiTheme="minorEastAsia" w:hAnsiTheme="minorEastAsia" w:hint="eastAsia"/>
          <w:sz w:val="21"/>
          <w:szCs w:val="21"/>
        </w:rPr>
        <w:t>、</w:t>
      </w:r>
      <w:r>
        <w:rPr>
          <w:rFonts w:asciiTheme="minorEastAsia" w:hAnsiTheme="minorEastAsia" w:hint="eastAsia"/>
          <w:i/>
          <w:sz w:val="21"/>
          <w:szCs w:val="21"/>
        </w:rPr>
        <w:t>b</w:t>
      </w:r>
      <w:r>
        <w:rPr>
          <w:rFonts w:asciiTheme="minorEastAsia" w:hAnsiTheme="minorEastAsia" w:hint="eastAsia"/>
          <w:sz w:val="21"/>
          <w:szCs w:val="21"/>
        </w:rPr>
        <w:t>的值，进而计算该证券在事件窗的日收益率，从而可以计算得到异常收益及累积非正常收益</w:t>
      </w:r>
      <w:r>
        <w:rPr>
          <w:rFonts w:asciiTheme="minorEastAsia" w:hAnsiTheme="minorEastAsia" w:hint="eastAsia"/>
          <w:sz w:val="21"/>
          <w:szCs w:val="21"/>
        </w:rPr>
        <w:t>CAR</w:t>
      </w:r>
      <w:r>
        <w:rPr>
          <w:rFonts w:asciiTheme="minorEastAsia" w:hAnsiTheme="minorEastAsia" w:hint="eastAsia"/>
          <w:sz w:val="21"/>
          <w:szCs w:val="21"/>
        </w:rPr>
        <w:t>，即：</w:t>
      </w:r>
    </w:p>
    <w:p w:rsidR="00950AD5" w:rsidRDefault="006F3A42">
      <w:pPr>
        <w:wordWrap w:val="0"/>
        <w:ind w:firstLine="480"/>
        <w:jc w:val="right"/>
        <w:rPr>
          <w:rFonts w:asciiTheme="minorEastAsia" w:hAnsiTheme="minorEastAsia"/>
          <w:sz w:val="21"/>
          <w:szCs w:val="21"/>
        </w:rPr>
      </w:pPr>
      <w:r>
        <w:rPr>
          <w:rFonts w:asciiTheme="minorEastAsia" w:hAnsiTheme="minorEastAsia"/>
          <w:sz w:val="21"/>
          <w:szCs w:val="21"/>
        </w:rPr>
        <w:t>(2)</w:t>
      </w:r>
    </w:p>
    <w:p w:rsidR="00950AD5" w:rsidRDefault="00950AD5">
      <w:pPr>
        <w:ind w:firstLineChars="766" w:firstLine="1379"/>
        <w:rPr>
          <w:rFonts w:asciiTheme="minorEastAsia" w:hAnsiTheme="minorEastAsia"/>
          <w:sz w:val="18"/>
          <w:szCs w:val="18"/>
        </w:rPr>
      </w:pP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3</w:t>
      </w:r>
      <w:r>
        <w:rPr>
          <w:rFonts w:asciiTheme="minorEastAsia" w:hAnsiTheme="minorEastAsia" w:hint="eastAsia"/>
          <w:sz w:val="21"/>
          <w:szCs w:val="21"/>
        </w:rPr>
        <w:t>）检验异</w:t>
      </w:r>
      <w:r>
        <w:rPr>
          <w:rFonts w:asciiTheme="minorEastAsia" w:hAnsiTheme="minorEastAsia" w:hint="eastAsia"/>
          <w:sz w:val="21"/>
          <w:szCs w:val="21"/>
        </w:rPr>
        <w:t>常收益的显著程度</w:t>
      </w:r>
      <w:r>
        <w:rPr>
          <w:rFonts w:asciiTheme="minorEastAsia" w:hAnsiTheme="minorEastAsia" w:hint="eastAsia"/>
          <w:sz w:val="21"/>
          <w:szCs w:val="21"/>
        </w:rPr>
        <w:t>(</w:t>
      </w:r>
      <w:r>
        <w:rPr>
          <w:rFonts w:asciiTheme="minorEastAsia" w:hAnsiTheme="minorEastAsia" w:hint="eastAsia"/>
          <w:sz w:val="21"/>
          <w:szCs w:val="21"/>
        </w:rPr>
        <w:t>显著性水平为</w:t>
      </w:r>
      <w:r>
        <w:rPr>
          <w:rFonts w:asciiTheme="minorEastAsia" w:hAnsiTheme="minorEastAsia" w:hint="eastAsia"/>
          <w:sz w:val="21"/>
          <w:szCs w:val="21"/>
        </w:rPr>
        <w:t>0.10):</w:t>
      </w:r>
    </w:p>
    <w:p w:rsidR="00950AD5" w:rsidRDefault="006F3A42">
      <w:pPr>
        <w:wordWrap w:val="0"/>
        <w:ind w:firstLineChars="200" w:firstLine="420"/>
        <w:jc w:val="right"/>
        <w:rPr>
          <w:rFonts w:asciiTheme="minorEastAsia" w:hAnsiTheme="minorEastAsia"/>
          <w:sz w:val="21"/>
          <w:szCs w:val="21"/>
        </w:rPr>
      </w:pPr>
      <w:r>
        <w:rPr>
          <w:rFonts w:asciiTheme="minorEastAsia" w:hAnsiTheme="minorEastAsia" w:hint="eastAsia"/>
          <w:sz w:val="21"/>
          <w:szCs w:val="21"/>
        </w:rPr>
        <w:t xml:space="preserve">  </w:t>
      </w:r>
    </w:p>
    <w:p w:rsidR="00950AD5" w:rsidRDefault="006F3A42">
      <w:pPr>
        <w:ind w:firstLineChars="200" w:firstLine="420"/>
        <w:jc w:val="right"/>
        <w:rPr>
          <w:rFonts w:asciiTheme="minorEastAsia" w:hAnsiTheme="minorEastAsia"/>
          <w:sz w:val="21"/>
          <w:szCs w:val="21"/>
        </w:rPr>
      </w:pPr>
      <w:r>
        <w:rPr>
          <w:rFonts w:asciiTheme="minorEastAsia" w:hAnsiTheme="minorEastAsia" w:hint="eastAsia"/>
          <w:sz w:val="21"/>
          <w:szCs w:val="21"/>
        </w:rPr>
        <w:t xml:space="preserve"> H</w:t>
      </w:r>
      <w:r>
        <w:rPr>
          <w:rFonts w:asciiTheme="minorEastAsia" w:hAnsiTheme="minorEastAsia" w:hint="eastAsia"/>
          <w:sz w:val="21"/>
          <w:szCs w:val="21"/>
          <w:vertAlign w:val="subscript"/>
        </w:rPr>
        <w:t>0</w:t>
      </w:r>
      <w:r>
        <w:rPr>
          <w:rFonts w:asciiTheme="minorEastAsia" w:hAnsiTheme="minorEastAsia" w:hint="eastAsia"/>
          <w:sz w:val="21"/>
          <w:szCs w:val="21"/>
        </w:rPr>
        <w:t>:</w:t>
      </w:r>
      <w:r>
        <w:rPr>
          <w:rFonts w:asciiTheme="minorEastAsia" w:hAnsiTheme="minorEastAsia" w:hint="eastAsia"/>
          <w:sz w:val="21"/>
          <w:szCs w:val="21"/>
        </w:rPr>
        <w:t>这起事件对于股市没有重大影响</w:t>
      </w:r>
      <w:r>
        <w:rPr>
          <w:rFonts w:asciiTheme="minorEastAsia" w:hAnsiTheme="minorEastAsia" w:hint="eastAsia"/>
          <w:sz w:val="21"/>
          <w:szCs w:val="21"/>
        </w:rPr>
        <w:t xml:space="preserve">                 </w:t>
      </w:r>
      <w:r>
        <w:rPr>
          <w:rFonts w:asciiTheme="minorEastAsia" w:hAnsiTheme="minorEastAsia"/>
          <w:sz w:val="21"/>
          <w:szCs w:val="21"/>
        </w:rPr>
        <w:t>(3)</w:t>
      </w:r>
    </w:p>
    <w:p w:rsidR="00950AD5" w:rsidRDefault="006F3A42">
      <w:pPr>
        <w:ind w:leftChars="100" w:left="240" w:firstLineChars="1300" w:firstLine="2730"/>
        <w:rPr>
          <w:rFonts w:asciiTheme="minorEastAsia" w:hAnsiTheme="minorEastAsia"/>
          <w:sz w:val="21"/>
          <w:szCs w:val="21"/>
        </w:rPr>
      </w:pPr>
      <w:r>
        <w:rPr>
          <w:rFonts w:asciiTheme="minorEastAsia" w:hAnsiTheme="minorEastAsia" w:hint="eastAsia"/>
          <w:sz w:val="21"/>
          <w:szCs w:val="21"/>
        </w:rPr>
        <w:t>H</w:t>
      </w:r>
      <w:r>
        <w:rPr>
          <w:rFonts w:asciiTheme="minorEastAsia" w:hAnsiTheme="minorEastAsia" w:hint="eastAsia"/>
          <w:sz w:val="21"/>
          <w:szCs w:val="21"/>
          <w:vertAlign w:val="subscript"/>
        </w:rPr>
        <w:t>1</w:t>
      </w:r>
      <w:r>
        <w:rPr>
          <w:rFonts w:asciiTheme="minorEastAsia" w:hAnsiTheme="minorEastAsia" w:hint="eastAsia"/>
          <w:sz w:val="21"/>
          <w:szCs w:val="21"/>
        </w:rPr>
        <w:t>:</w:t>
      </w:r>
      <w:r>
        <w:rPr>
          <w:rFonts w:asciiTheme="minorEastAsia" w:hAnsiTheme="minorEastAsia" w:hint="eastAsia"/>
          <w:sz w:val="21"/>
          <w:szCs w:val="21"/>
        </w:rPr>
        <w:t>这起事件对于股市有重大影响。</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结果如下所示：</w:t>
      </w:r>
    </w:p>
    <w:p w:rsidR="00950AD5" w:rsidRDefault="006F3A42">
      <w:pPr>
        <w:ind w:firstLine="480"/>
        <w:jc w:val="center"/>
        <w:rPr>
          <w:rFonts w:ascii="黑体" w:eastAsia="黑体" w:hAnsiTheme="minorEastAsia"/>
          <w:b/>
          <w:sz w:val="18"/>
          <w:szCs w:val="18"/>
        </w:rPr>
      </w:pPr>
      <w:r>
        <w:rPr>
          <w:rFonts w:ascii="黑体" w:eastAsia="黑体" w:hAnsiTheme="minorEastAsia" w:hint="eastAsia"/>
          <w:b/>
          <w:sz w:val="18"/>
          <w:szCs w:val="18"/>
        </w:rPr>
        <w:t>表</w:t>
      </w:r>
      <w:r>
        <w:rPr>
          <w:rFonts w:ascii="黑体" w:eastAsia="黑体" w:hAnsiTheme="minorEastAsia" w:hint="eastAsia"/>
          <w:b/>
          <w:sz w:val="18"/>
          <w:szCs w:val="18"/>
        </w:rPr>
        <w:t>1</w:t>
      </w:r>
      <w:r>
        <w:rPr>
          <w:rFonts w:ascii="黑体" w:eastAsia="黑体" w:hAnsiTheme="minorEastAsia" w:hint="eastAsia"/>
          <w:b/>
          <w:sz w:val="18"/>
          <w:szCs w:val="18"/>
        </w:rPr>
        <w:t>：事件研究结果</w:t>
      </w:r>
    </w:p>
    <w:tbl>
      <w:tblPr>
        <w:tblStyle w:val="a9"/>
        <w:tblW w:w="8522" w:type="dxa"/>
        <w:tblLayout w:type="fixed"/>
        <w:tblLook w:val="04A0"/>
      </w:tblPr>
      <w:tblGrid>
        <w:gridCol w:w="2943"/>
        <w:gridCol w:w="2738"/>
        <w:gridCol w:w="2841"/>
      </w:tblGrid>
      <w:tr w:rsidR="00950AD5">
        <w:tc>
          <w:tcPr>
            <w:tcW w:w="2943" w:type="dxa"/>
          </w:tcPr>
          <w:p w:rsidR="00950AD5" w:rsidRDefault="00950AD5">
            <w:pPr>
              <w:rPr>
                <w:rFonts w:ascii="楷体" w:eastAsia="楷体" w:hAnsi="楷体"/>
                <w:sz w:val="18"/>
                <w:szCs w:val="18"/>
              </w:rPr>
            </w:pPr>
          </w:p>
        </w:tc>
        <w:tc>
          <w:tcPr>
            <w:tcW w:w="2738" w:type="dxa"/>
          </w:tcPr>
          <w:p w:rsidR="00950AD5" w:rsidRDefault="006F3A42">
            <w:pPr>
              <w:rPr>
                <w:rFonts w:ascii="楷体" w:eastAsia="楷体" w:hAnsi="楷体"/>
                <w:sz w:val="18"/>
                <w:szCs w:val="18"/>
              </w:rPr>
            </w:pPr>
            <w:r>
              <w:rPr>
                <w:rFonts w:ascii="楷体" w:eastAsia="楷体" w:hAnsi="楷体"/>
                <w:sz w:val="18"/>
                <w:szCs w:val="18"/>
              </w:rPr>
              <w:t xml:space="preserve">t </w:t>
            </w:r>
            <w:r>
              <w:rPr>
                <w:rFonts w:ascii="楷体" w:eastAsia="楷体" w:hAnsi="楷体"/>
                <w:sz w:val="18"/>
                <w:szCs w:val="18"/>
              </w:rPr>
              <w:t>统计量</w:t>
            </w:r>
          </w:p>
        </w:tc>
        <w:tc>
          <w:tcPr>
            <w:tcW w:w="2841" w:type="dxa"/>
          </w:tcPr>
          <w:p w:rsidR="00950AD5" w:rsidRDefault="006F3A42">
            <w:pPr>
              <w:rPr>
                <w:rFonts w:ascii="楷体" w:eastAsia="楷体" w:hAnsi="楷体"/>
                <w:sz w:val="18"/>
                <w:szCs w:val="18"/>
              </w:rPr>
            </w:pPr>
            <w:r>
              <w:rPr>
                <w:rFonts w:ascii="楷体" w:eastAsia="楷体" w:hAnsi="楷体"/>
                <w:sz w:val="18"/>
                <w:szCs w:val="18"/>
              </w:rPr>
              <w:t>P</w:t>
            </w:r>
            <w:r>
              <w:rPr>
                <w:rFonts w:ascii="楷体" w:eastAsia="楷体" w:hAnsi="楷体" w:hint="eastAsia"/>
                <w:sz w:val="18"/>
                <w:szCs w:val="18"/>
              </w:rPr>
              <w:t xml:space="preserve"> </w:t>
            </w:r>
            <w:r>
              <w:rPr>
                <w:rFonts w:ascii="楷体" w:eastAsia="楷体" w:hAnsi="楷体" w:hint="eastAsia"/>
                <w:sz w:val="18"/>
                <w:szCs w:val="18"/>
              </w:rPr>
              <w:t>值</w:t>
            </w:r>
          </w:p>
        </w:tc>
      </w:tr>
      <w:tr w:rsidR="00950AD5">
        <w:tc>
          <w:tcPr>
            <w:tcW w:w="2943" w:type="dxa"/>
          </w:tcPr>
          <w:p w:rsidR="00950AD5" w:rsidRDefault="006F3A42">
            <w:pPr>
              <w:rPr>
                <w:rFonts w:ascii="楷体" w:eastAsia="楷体" w:hAnsi="楷体"/>
                <w:sz w:val="18"/>
                <w:szCs w:val="18"/>
              </w:rPr>
            </w:pPr>
            <w:r>
              <w:rPr>
                <w:rFonts w:ascii="楷体" w:eastAsia="楷体" w:hAnsi="楷体"/>
                <w:sz w:val="18"/>
                <w:szCs w:val="18"/>
              </w:rPr>
              <w:t>中信证券</w:t>
            </w:r>
            <w:r>
              <w:rPr>
                <w:rFonts w:ascii="楷体" w:eastAsia="楷体" w:hAnsi="楷体" w:hint="eastAsia"/>
                <w:sz w:val="18"/>
                <w:szCs w:val="18"/>
              </w:rPr>
              <w:t>9</w:t>
            </w:r>
            <w:r>
              <w:rPr>
                <w:rFonts w:ascii="楷体" w:eastAsia="楷体" w:hAnsi="楷体" w:hint="eastAsia"/>
                <w:sz w:val="18"/>
                <w:szCs w:val="18"/>
              </w:rPr>
              <w:t>月</w:t>
            </w:r>
            <w:r>
              <w:rPr>
                <w:rFonts w:ascii="楷体" w:eastAsia="楷体" w:hAnsi="楷体" w:hint="eastAsia"/>
                <w:sz w:val="18"/>
                <w:szCs w:val="18"/>
              </w:rPr>
              <w:t>15</w:t>
            </w:r>
            <w:r>
              <w:rPr>
                <w:rFonts w:ascii="楷体" w:eastAsia="楷体" w:hAnsi="楷体" w:hint="eastAsia"/>
                <w:sz w:val="18"/>
                <w:szCs w:val="18"/>
              </w:rPr>
              <w:t>日</w:t>
            </w:r>
            <w:r>
              <w:rPr>
                <w:rFonts w:ascii="楷体" w:eastAsia="楷体" w:hAnsi="楷体"/>
                <w:sz w:val="18"/>
                <w:szCs w:val="18"/>
              </w:rPr>
              <w:t>事件研究</w:t>
            </w:r>
          </w:p>
        </w:tc>
        <w:tc>
          <w:tcPr>
            <w:tcW w:w="2738" w:type="dxa"/>
          </w:tcPr>
          <w:p w:rsidR="00950AD5" w:rsidRDefault="006F3A42">
            <w:pPr>
              <w:rPr>
                <w:rFonts w:ascii="楷体" w:eastAsia="楷体" w:hAnsi="楷体"/>
                <w:sz w:val="18"/>
                <w:szCs w:val="18"/>
              </w:rPr>
            </w:pPr>
            <w:r>
              <w:rPr>
                <w:rFonts w:ascii="楷体" w:eastAsia="楷体" w:hAnsi="楷体"/>
                <w:sz w:val="18"/>
                <w:szCs w:val="18"/>
              </w:rPr>
              <w:t>-2.43631</w:t>
            </w:r>
          </w:p>
        </w:tc>
        <w:tc>
          <w:tcPr>
            <w:tcW w:w="2841" w:type="dxa"/>
          </w:tcPr>
          <w:p w:rsidR="00950AD5" w:rsidRDefault="006F3A42">
            <w:pPr>
              <w:rPr>
                <w:rFonts w:ascii="楷体" w:eastAsia="楷体" w:hAnsi="楷体"/>
                <w:sz w:val="18"/>
                <w:szCs w:val="18"/>
              </w:rPr>
            </w:pPr>
            <w:r>
              <w:rPr>
                <w:rFonts w:ascii="楷体" w:eastAsia="楷体" w:hAnsi="楷体"/>
                <w:sz w:val="18"/>
                <w:szCs w:val="18"/>
              </w:rPr>
              <w:t>0.01963</w:t>
            </w:r>
          </w:p>
        </w:tc>
      </w:tr>
      <w:tr w:rsidR="00950AD5">
        <w:tc>
          <w:tcPr>
            <w:tcW w:w="2943" w:type="dxa"/>
          </w:tcPr>
          <w:p w:rsidR="00950AD5" w:rsidRDefault="006F3A42">
            <w:pPr>
              <w:rPr>
                <w:rFonts w:ascii="楷体" w:eastAsia="楷体" w:hAnsi="楷体"/>
                <w:sz w:val="18"/>
                <w:szCs w:val="18"/>
              </w:rPr>
            </w:pPr>
            <w:r>
              <w:rPr>
                <w:rFonts w:ascii="楷体" w:eastAsia="楷体" w:hAnsi="楷体" w:hint="eastAsia"/>
                <w:sz w:val="18"/>
                <w:szCs w:val="18"/>
              </w:rPr>
              <w:t>国信证券</w:t>
            </w:r>
            <w:r>
              <w:rPr>
                <w:rFonts w:ascii="楷体" w:eastAsia="楷体" w:hAnsi="楷体" w:hint="eastAsia"/>
                <w:sz w:val="18"/>
                <w:szCs w:val="18"/>
              </w:rPr>
              <w:t>10</w:t>
            </w:r>
            <w:r>
              <w:rPr>
                <w:rFonts w:ascii="楷体" w:eastAsia="楷体" w:hAnsi="楷体" w:hint="eastAsia"/>
                <w:sz w:val="18"/>
                <w:szCs w:val="18"/>
              </w:rPr>
              <w:t>月</w:t>
            </w:r>
            <w:r>
              <w:rPr>
                <w:rFonts w:ascii="楷体" w:eastAsia="楷体" w:hAnsi="楷体" w:hint="eastAsia"/>
                <w:sz w:val="18"/>
                <w:szCs w:val="18"/>
              </w:rPr>
              <w:t>23</w:t>
            </w:r>
            <w:r>
              <w:rPr>
                <w:rFonts w:ascii="楷体" w:eastAsia="楷体" w:hAnsi="楷体" w:hint="eastAsia"/>
                <w:sz w:val="18"/>
                <w:szCs w:val="18"/>
              </w:rPr>
              <w:t>日事件研究</w:t>
            </w:r>
          </w:p>
        </w:tc>
        <w:tc>
          <w:tcPr>
            <w:tcW w:w="2738" w:type="dxa"/>
          </w:tcPr>
          <w:p w:rsidR="00950AD5" w:rsidRDefault="006F3A42">
            <w:pPr>
              <w:rPr>
                <w:rFonts w:ascii="楷体" w:eastAsia="楷体" w:hAnsi="楷体"/>
                <w:sz w:val="18"/>
                <w:szCs w:val="18"/>
              </w:rPr>
            </w:pPr>
            <w:r>
              <w:rPr>
                <w:rFonts w:ascii="楷体" w:eastAsia="楷体" w:hAnsi="楷体"/>
                <w:sz w:val="18"/>
                <w:szCs w:val="18"/>
              </w:rPr>
              <w:t>-0.78571</w:t>
            </w:r>
          </w:p>
        </w:tc>
        <w:tc>
          <w:tcPr>
            <w:tcW w:w="2841" w:type="dxa"/>
          </w:tcPr>
          <w:p w:rsidR="00950AD5" w:rsidRDefault="006F3A42">
            <w:pPr>
              <w:rPr>
                <w:rFonts w:ascii="楷体" w:eastAsia="楷体" w:hAnsi="楷体"/>
                <w:sz w:val="18"/>
                <w:szCs w:val="18"/>
              </w:rPr>
            </w:pPr>
            <w:r>
              <w:rPr>
                <w:rFonts w:ascii="楷体" w:eastAsia="楷体" w:hAnsi="楷体"/>
                <w:sz w:val="18"/>
                <w:szCs w:val="18"/>
              </w:rPr>
              <w:t>0.43690</w:t>
            </w:r>
          </w:p>
        </w:tc>
      </w:tr>
    </w:tbl>
    <w:p w:rsidR="00950AD5" w:rsidRDefault="006F3A42">
      <w:pPr>
        <w:ind w:firstLine="480"/>
        <w:rPr>
          <w:rFonts w:asciiTheme="minorEastAsia" w:hAnsiTheme="minorEastAsia"/>
          <w:sz w:val="21"/>
          <w:szCs w:val="21"/>
        </w:rPr>
      </w:pPr>
      <w:r>
        <w:rPr>
          <w:noProof/>
        </w:rPr>
        <w:drawing>
          <wp:inline distT="0" distB="0" distL="0" distR="0">
            <wp:extent cx="4572000" cy="213931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0AD5" w:rsidRDefault="00950AD5">
      <w:pPr>
        <w:rPr>
          <w:rFonts w:ascii="黑体" w:eastAsia="黑体" w:hAnsiTheme="minorEastAsia"/>
          <w:b/>
          <w:sz w:val="18"/>
          <w:szCs w:val="18"/>
        </w:rPr>
      </w:pPr>
    </w:p>
    <w:p w:rsidR="00950AD5" w:rsidRDefault="006F3A42" w:rsidP="00472F0E">
      <w:pPr>
        <w:ind w:firstLineChars="200" w:firstLine="360"/>
        <w:jc w:val="center"/>
        <w:rPr>
          <w:rFonts w:ascii="黑体" w:eastAsia="黑体" w:hAnsiTheme="minorEastAsia"/>
          <w:b/>
          <w:sz w:val="18"/>
          <w:szCs w:val="18"/>
        </w:rPr>
      </w:pPr>
      <w:r>
        <w:rPr>
          <w:rFonts w:ascii="黑体" w:eastAsia="黑体" w:hAnsiTheme="minorEastAsia" w:hint="eastAsia"/>
          <w:b/>
          <w:sz w:val="18"/>
          <w:szCs w:val="18"/>
        </w:rPr>
        <w:t>图</w:t>
      </w:r>
      <w:r>
        <w:rPr>
          <w:rFonts w:ascii="黑体" w:eastAsia="黑体" w:hAnsiTheme="minorEastAsia" w:hint="eastAsia"/>
          <w:b/>
          <w:sz w:val="18"/>
          <w:szCs w:val="18"/>
        </w:rPr>
        <w:t>2</w:t>
      </w:r>
      <w:r>
        <w:rPr>
          <w:rFonts w:ascii="黑体" w:eastAsia="黑体" w:hAnsiTheme="minorEastAsia" w:hint="eastAsia"/>
          <w:b/>
          <w:sz w:val="18"/>
          <w:szCs w:val="18"/>
        </w:rPr>
        <w:t>：中信证券事件研究</w:t>
      </w:r>
    </w:p>
    <w:p w:rsidR="00950AD5" w:rsidRDefault="006F3A42">
      <w:pPr>
        <w:ind w:firstLineChars="200" w:firstLine="480"/>
        <w:rPr>
          <w:rFonts w:asciiTheme="minorEastAsia" w:hAnsiTheme="minorEastAsia"/>
          <w:sz w:val="21"/>
          <w:szCs w:val="21"/>
        </w:rPr>
      </w:pPr>
      <w:r>
        <w:rPr>
          <w:noProof/>
        </w:rPr>
        <w:lastRenderedPageBreak/>
        <w:drawing>
          <wp:inline distT="0" distB="0" distL="0" distR="0">
            <wp:extent cx="4572000" cy="2337435"/>
            <wp:effectExtent l="0" t="0" r="0"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0AD5" w:rsidRDefault="006F3A42" w:rsidP="00472F0E">
      <w:pPr>
        <w:ind w:firstLineChars="200" w:firstLine="360"/>
        <w:jc w:val="center"/>
        <w:rPr>
          <w:rFonts w:ascii="黑体" w:eastAsia="黑体" w:hAnsiTheme="minorEastAsia"/>
          <w:b/>
          <w:sz w:val="18"/>
          <w:szCs w:val="18"/>
        </w:rPr>
      </w:pPr>
      <w:r>
        <w:rPr>
          <w:rFonts w:ascii="黑体" w:eastAsia="黑体" w:hAnsiTheme="minorEastAsia" w:hint="eastAsia"/>
          <w:b/>
          <w:sz w:val="18"/>
          <w:szCs w:val="18"/>
        </w:rPr>
        <w:t>图</w:t>
      </w:r>
      <w:r>
        <w:rPr>
          <w:rFonts w:ascii="黑体" w:eastAsia="黑体" w:hAnsiTheme="minorEastAsia" w:hint="eastAsia"/>
          <w:b/>
          <w:sz w:val="18"/>
          <w:szCs w:val="18"/>
        </w:rPr>
        <w:t>3</w:t>
      </w:r>
      <w:r>
        <w:rPr>
          <w:rFonts w:ascii="黑体" w:eastAsia="黑体" w:hAnsiTheme="minorEastAsia" w:hint="eastAsia"/>
          <w:b/>
          <w:sz w:val="18"/>
          <w:szCs w:val="18"/>
        </w:rPr>
        <w:t>：国信证券事件研究</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从表</w:t>
      </w:r>
      <w:r>
        <w:rPr>
          <w:rFonts w:asciiTheme="minorEastAsia" w:hAnsiTheme="minorEastAsia" w:hint="eastAsia"/>
          <w:sz w:val="21"/>
          <w:szCs w:val="21"/>
        </w:rPr>
        <w:t>1</w:t>
      </w:r>
      <w:r>
        <w:rPr>
          <w:rFonts w:asciiTheme="minorEastAsia" w:hAnsiTheme="minorEastAsia" w:hint="eastAsia"/>
          <w:sz w:val="21"/>
          <w:szCs w:val="21"/>
        </w:rPr>
        <w:t>可以看出中信证券</w:t>
      </w:r>
      <w:r>
        <w:rPr>
          <w:rFonts w:asciiTheme="minorEastAsia" w:hAnsiTheme="minorEastAsia" w:hint="eastAsia"/>
          <w:sz w:val="21"/>
          <w:szCs w:val="21"/>
        </w:rPr>
        <w:t>9</w:t>
      </w:r>
      <w:r>
        <w:rPr>
          <w:rFonts w:asciiTheme="minorEastAsia" w:hAnsiTheme="minorEastAsia" w:hint="eastAsia"/>
          <w:sz w:val="21"/>
          <w:szCs w:val="21"/>
        </w:rPr>
        <w:t>月</w:t>
      </w:r>
      <w:r>
        <w:rPr>
          <w:rFonts w:asciiTheme="minorEastAsia" w:hAnsiTheme="minorEastAsia" w:hint="eastAsia"/>
          <w:sz w:val="21"/>
          <w:szCs w:val="21"/>
        </w:rPr>
        <w:t>15</w:t>
      </w:r>
      <w:r>
        <w:rPr>
          <w:rFonts w:asciiTheme="minorEastAsia" w:hAnsiTheme="minorEastAsia" w:hint="eastAsia"/>
          <w:sz w:val="21"/>
          <w:szCs w:val="21"/>
        </w:rPr>
        <w:t>日事件研究的</w:t>
      </w:r>
      <w:r>
        <w:rPr>
          <w:rFonts w:asciiTheme="minorEastAsia" w:hAnsiTheme="minorEastAsia" w:hint="eastAsia"/>
          <w:sz w:val="21"/>
          <w:szCs w:val="21"/>
        </w:rPr>
        <w:t>P</w:t>
      </w:r>
      <w:r>
        <w:rPr>
          <w:rFonts w:asciiTheme="minorEastAsia" w:hAnsiTheme="minorEastAsia" w:hint="eastAsia"/>
          <w:sz w:val="21"/>
          <w:szCs w:val="21"/>
        </w:rPr>
        <w:t>值小于显著性水平</w:t>
      </w:r>
      <w:r>
        <w:rPr>
          <w:rFonts w:asciiTheme="minorEastAsia" w:hAnsiTheme="minorEastAsia" w:hint="eastAsia"/>
          <w:sz w:val="21"/>
          <w:szCs w:val="21"/>
        </w:rPr>
        <w:t>0.10</w:t>
      </w:r>
      <w:r>
        <w:rPr>
          <w:rFonts w:asciiTheme="minorEastAsia" w:hAnsiTheme="minorEastAsia" w:hint="eastAsia"/>
          <w:sz w:val="21"/>
          <w:szCs w:val="21"/>
        </w:rPr>
        <w:t>，拒绝原假设，即高管被调查事件对于股市有显著影响；从上面两图的对比可以明显看出，两图的异常收益率曲线波动趋势非常相似，并且异常收益率的最低点都在事件发生的一到两天前，这表明股票价格对于消极事件的发生具有类似的反映，并且很有可能在事件发生之前股票对此已经有所波动，表明公司治理的风险防范应在公司高管方面多加关注</w:t>
      </w:r>
      <w:r>
        <w:rPr>
          <w:rFonts w:asciiTheme="minorEastAsia" w:hAnsiTheme="minorEastAsia" w:hint="eastAsia"/>
          <w:sz w:val="21"/>
          <w:szCs w:val="21"/>
          <w:vertAlign w:val="superscript"/>
        </w:rPr>
        <w:t>[11]</w:t>
      </w:r>
      <w:r>
        <w:rPr>
          <w:rFonts w:asciiTheme="minorEastAsia" w:hAnsiTheme="minorEastAsia" w:hint="eastAsia"/>
          <w:sz w:val="21"/>
          <w:szCs w:val="21"/>
        </w:rPr>
        <w:t>。</w:t>
      </w:r>
    </w:p>
    <w:p w:rsidR="00950AD5" w:rsidRDefault="006F3A42">
      <w:pPr>
        <w:pStyle w:val="2"/>
        <w:spacing w:line="240" w:lineRule="auto"/>
        <w:rPr>
          <w:rFonts w:ascii="黑体" w:eastAsia="黑体" w:hAnsiTheme="minorEastAsia"/>
          <w:b w:val="0"/>
          <w:sz w:val="24"/>
          <w:szCs w:val="24"/>
        </w:rPr>
      </w:pPr>
      <w:r>
        <w:rPr>
          <w:rFonts w:ascii="黑体" w:eastAsia="黑体" w:hAnsiTheme="minorEastAsia" w:hint="eastAsia"/>
          <w:b w:val="0"/>
          <w:sz w:val="24"/>
          <w:szCs w:val="24"/>
        </w:rPr>
        <w:t>(</w:t>
      </w:r>
      <w:r>
        <w:rPr>
          <w:rFonts w:ascii="黑体" w:eastAsia="黑体" w:hAnsiTheme="minorEastAsia" w:hint="eastAsia"/>
          <w:b w:val="0"/>
          <w:sz w:val="24"/>
          <w:szCs w:val="24"/>
        </w:rPr>
        <w:t>二</w:t>
      </w:r>
      <w:r>
        <w:rPr>
          <w:rFonts w:ascii="黑体" w:eastAsia="黑体" w:hAnsiTheme="minorEastAsia" w:hint="eastAsia"/>
          <w:b w:val="0"/>
          <w:sz w:val="24"/>
          <w:szCs w:val="24"/>
        </w:rPr>
        <w:t xml:space="preserve">) </w:t>
      </w:r>
      <w:r>
        <w:rPr>
          <w:rFonts w:ascii="黑体" w:eastAsia="黑体" w:hAnsiTheme="minorEastAsia" w:hint="eastAsia"/>
          <w:b w:val="0"/>
          <w:sz w:val="24"/>
          <w:szCs w:val="24"/>
        </w:rPr>
        <w:t>重要股市指数波动的分析</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纵观</w:t>
      </w:r>
      <w:r>
        <w:rPr>
          <w:rFonts w:asciiTheme="minorEastAsia" w:hAnsiTheme="minorEastAsia" w:hint="eastAsia"/>
          <w:sz w:val="21"/>
          <w:szCs w:val="21"/>
        </w:rPr>
        <w:t>2015</w:t>
      </w:r>
      <w:r>
        <w:rPr>
          <w:rFonts w:asciiTheme="minorEastAsia" w:hAnsiTheme="minorEastAsia" w:hint="eastAsia"/>
          <w:sz w:val="21"/>
          <w:szCs w:val="21"/>
        </w:rPr>
        <w:t>年中国股市的总体波动情况，本文选取</w:t>
      </w:r>
      <w:r>
        <w:rPr>
          <w:rFonts w:asciiTheme="minorEastAsia" w:hAnsiTheme="minorEastAsia" w:hint="eastAsia"/>
          <w:sz w:val="21"/>
          <w:szCs w:val="21"/>
        </w:rPr>
        <w:t>2014</w:t>
      </w:r>
      <w:r>
        <w:rPr>
          <w:rFonts w:asciiTheme="minorEastAsia" w:hAnsiTheme="minorEastAsia" w:hint="eastAsia"/>
          <w:sz w:val="21"/>
          <w:szCs w:val="21"/>
        </w:rPr>
        <w:t>年</w:t>
      </w:r>
      <w:r>
        <w:rPr>
          <w:rFonts w:asciiTheme="minorEastAsia" w:hAnsiTheme="minorEastAsia" w:hint="eastAsia"/>
          <w:sz w:val="21"/>
          <w:szCs w:val="21"/>
        </w:rPr>
        <w:t>11</w:t>
      </w:r>
      <w:r>
        <w:rPr>
          <w:rFonts w:asciiTheme="minorEastAsia" w:hAnsiTheme="minorEastAsia" w:hint="eastAsia"/>
          <w:sz w:val="21"/>
          <w:szCs w:val="21"/>
        </w:rPr>
        <w:t>月</w:t>
      </w:r>
      <w:r>
        <w:rPr>
          <w:rFonts w:asciiTheme="minorEastAsia" w:hAnsiTheme="minorEastAsia" w:hint="eastAsia"/>
          <w:sz w:val="21"/>
          <w:szCs w:val="21"/>
        </w:rPr>
        <w:t>20</w:t>
      </w:r>
      <w:r>
        <w:rPr>
          <w:rFonts w:asciiTheme="minorEastAsia" w:hAnsiTheme="minorEastAsia" w:hint="eastAsia"/>
          <w:sz w:val="21"/>
          <w:szCs w:val="21"/>
        </w:rPr>
        <w:t>日至</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w:t>
      </w:r>
      <w:r>
        <w:rPr>
          <w:rFonts w:asciiTheme="minorEastAsia" w:hAnsiTheme="minorEastAsia" w:hint="eastAsia"/>
          <w:sz w:val="21"/>
          <w:szCs w:val="21"/>
        </w:rPr>
        <w:t>月</w:t>
      </w:r>
      <w:r>
        <w:rPr>
          <w:rFonts w:asciiTheme="minorEastAsia" w:hAnsiTheme="minorEastAsia" w:hint="eastAsia"/>
          <w:sz w:val="21"/>
          <w:szCs w:val="21"/>
        </w:rPr>
        <w:t>9</w:t>
      </w:r>
      <w:r>
        <w:rPr>
          <w:rFonts w:asciiTheme="minorEastAsia" w:hAnsiTheme="minorEastAsia" w:hint="eastAsia"/>
          <w:sz w:val="21"/>
          <w:szCs w:val="21"/>
        </w:rPr>
        <w:t>日以及</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5</w:t>
      </w:r>
      <w:r>
        <w:rPr>
          <w:rFonts w:asciiTheme="minorEastAsia" w:hAnsiTheme="minorEastAsia" w:hint="eastAsia"/>
          <w:sz w:val="21"/>
          <w:szCs w:val="21"/>
        </w:rPr>
        <w:t>月</w:t>
      </w:r>
      <w:r>
        <w:rPr>
          <w:rFonts w:asciiTheme="minorEastAsia" w:hAnsiTheme="minorEastAsia" w:hint="eastAsia"/>
          <w:sz w:val="21"/>
          <w:szCs w:val="21"/>
        </w:rPr>
        <w:t>19</w:t>
      </w:r>
      <w:r>
        <w:rPr>
          <w:rFonts w:asciiTheme="minorEastAsia" w:hAnsiTheme="minorEastAsia" w:hint="eastAsia"/>
          <w:sz w:val="21"/>
          <w:szCs w:val="21"/>
        </w:rPr>
        <w:t>日至</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6</w:t>
      </w:r>
      <w:r>
        <w:rPr>
          <w:rFonts w:asciiTheme="minorEastAsia" w:hAnsiTheme="minorEastAsia" w:hint="eastAsia"/>
          <w:sz w:val="21"/>
          <w:szCs w:val="21"/>
        </w:rPr>
        <w:t>月</w:t>
      </w:r>
      <w:r>
        <w:rPr>
          <w:rFonts w:asciiTheme="minorEastAsia" w:hAnsiTheme="minorEastAsia" w:hint="eastAsia"/>
          <w:sz w:val="21"/>
          <w:szCs w:val="21"/>
        </w:rPr>
        <w:t>12</w:t>
      </w:r>
      <w:r>
        <w:rPr>
          <w:rFonts w:asciiTheme="minorEastAsia" w:hAnsiTheme="minorEastAsia" w:hint="eastAsia"/>
          <w:sz w:val="21"/>
          <w:szCs w:val="21"/>
        </w:rPr>
        <w:t>日两个股市剧烈上涨阶段和</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8</w:t>
      </w:r>
      <w:r>
        <w:rPr>
          <w:rFonts w:asciiTheme="minorEastAsia" w:hAnsiTheme="minorEastAsia" w:hint="eastAsia"/>
          <w:sz w:val="21"/>
          <w:szCs w:val="21"/>
        </w:rPr>
        <w:t>月</w:t>
      </w:r>
      <w:r>
        <w:rPr>
          <w:rFonts w:asciiTheme="minorEastAsia" w:hAnsiTheme="minorEastAsia" w:hint="eastAsia"/>
          <w:sz w:val="21"/>
          <w:szCs w:val="21"/>
        </w:rPr>
        <w:t>18</w:t>
      </w:r>
      <w:r>
        <w:rPr>
          <w:rFonts w:asciiTheme="minorEastAsia" w:hAnsiTheme="minorEastAsia" w:hint="eastAsia"/>
          <w:sz w:val="21"/>
          <w:szCs w:val="21"/>
        </w:rPr>
        <w:t>日至</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8</w:t>
      </w:r>
      <w:r>
        <w:rPr>
          <w:rFonts w:asciiTheme="minorEastAsia" w:hAnsiTheme="minorEastAsia" w:hint="eastAsia"/>
          <w:sz w:val="21"/>
          <w:szCs w:val="21"/>
        </w:rPr>
        <w:t>月</w:t>
      </w:r>
      <w:r>
        <w:rPr>
          <w:rFonts w:asciiTheme="minorEastAsia" w:hAnsiTheme="minorEastAsia" w:hint="eastAsia"/>
          <w:sz w:val="21"/>
          <w:szCs w:val="21"/>
        </w:rPr>
        <w:t>31</w:t>
      </w:r>
      <w:r>
        <w:rPr>
          <w:rFonts w:asciiTheme="minorEastAsia" w:hAnsiTheme="minorEastAsia" w:hint="eastAsia"/>
          <w:sz w:val="21"/>
          <w:szCs w:val="21"/>
        </w:rPr>
        <w:t>日以及</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12</w:t>
      </w:r>
      <w:r>
        <w:rPr>
          <w:rFonts w:asciiTheme="minorEastAsia" w:hAnsiTheme="minorEastAsia" w:hint="eastAsia"/>
          <w:sz w:val="21"/>
          <w:szCs w:val="21"/>
        </w:rPr>
        <w:t>月</w:t>
      </w:r>
      <w:r>
        <w:rPr>
          <w:rFonts w:asciiTheme="minorEastAsia" w:hAnsiTheme="minorEastAsia" w:hint="eastAsia"/>
          <w:sz w:val="21"/>
          <w:szCs w:val="21"/>
        </w:rPr>
        <w:t>23</w:t>
      </w:r>
      <w:r>
        <w:rPr>
          <w:rFonts w:asciiTheme="minorEastAsia" w:hAnsiTheme="minorEastAsia" w:hint="eastAsia"/>
          <w:sz w:val="21"/>
          <w:szCs w:val="21"/>
        </w:rPr>
        <w:t>日至</w:t>
      </w:r>
      <w:r>
        <w:rPr>
          <w:rFonts w:asciiTheme="minorEastAsia" w:hAnsiTheme="minorEastAsia" w:hint="eastAsia"/>
          <w:sz w:val="21"/>
          <w:szCs w:val="21"/>
        </w:rPr>
        <w:t>2016</w:t>
      </w:r>
      <w:r>
        <w:rPr>
          <w:rFonts w:asciiTheme="minorEastAsia" w:hAnsiTheme="minorEastAsia" w:hint="eastAsia"/>
          <w:sz w:val="21"/>
          <w:szCs w:val="21"/>
        </w:rPr>
        <w:t>年</w:t>
      </w:r>
      <w:r>
        <w:rPr>
          <w:rFonts w:asciiTheme="minorEastAsia" w:hAnsiTheme="minorEastAsia" w:hint="eastAsia"/>
          <w:sz w:val="21"/>
          <w:szCs w:val="21"/>
        </w:rPr>
        <w:t>1</w:t>
      </w:r>
      <w:r>
        <w:rPr>
          <w:rFonts w:asciiTheme="minorEastAsia" w:hAnsiTheme="minorEastAsia" w:hint="eastAsia"/>
          <w:sz w:val="21"/>
          <w:szCs w:val="21"/>
        </w:rPr>
        <w:t>月</w:t>
      </w:r>
      <w:r>
        <w:rPr>
          <w:rFonts w:asciiTheme="minorEastAsia" w:hAnsiTheme="minorEastAsia" w:hint="eastAsia"/>
          <w:sz w:val="21"/>
          <w:szCs w:val="21"/>
        </w:rPr>
        <w:t>27</w:t>
      </w:r>
      <w:r>
        <w:rPr>
          <w:rFonts w:asciiTheme="minorEastAsia" w:hAnsiTheme="minorEastAsia" w:hint="eastAsia"/>
          <w:sz w:val="21"/>
          <w:szCs w:val="21"/>
        </w:rPr>
        <w:t>日两个快速下跌阶段指数（板块）的日收益率，利用成对双样本均值分析方法，检验同花顺证券板块在股市剧烈波动时相较于作为主要股市指数的上证指数和深证成指的变化情况。</w:t>
      </w:r>
    </w:p>
    <w:p w:rsidR="00950AD5" w:rsidRDefault="006F3A42">
      <w:pPr>
        <w:wordWrap w:val="0"/>
        <w:ind w:leftChars="150" w:left="360" w:firstLineChars="200" w:firstLine="420"/>
        <w:jc w:val="right"/>
        <w:rPr>
          <w:rFonts w:asciiTheme="minorEastAsia" w:hAnsiTheme="minorEastAsia"/>
          <w:sz w:val="21"/>
          <w:szCs w:val="21"/>
        </w:rPr>
      </w:pPr>
      <w:r>
        <w:rPr>
          <w:rFonts w:asciiTheme="minorEastAsia" w:hAnsiTheme="minorEastAsia" w:hint="eastAsia"/>
          <w:sz w:val="21"/>
          <w:szCs w:val="21"/>
        </w:rPr>
        <w:t xml:space="preserve">     H</w:t>
      </w:r>
      <w:r>
        <w:rPr>
          <w:rFonts w:asciiTheme="minorEastAsia" w:hAnsiTheme="minorEastAsia" w:hint="eastAsia"/>
          <w:sz w:val="21"/>
          <w:szCs w:val="21"/>
          <w:vertAlign w:val="subscript"/>
        </w:rPr>
        <w:t>0</w:t>
      </w:r>
      <w:r>
        <w:rPr>
          <w:rFonts w:asciiTheme="minorEastAsia" w:hAnsiTheme="minorEastAsia" w:hint="eastAsia"/>
          <w:sz w:val="21"/>
          <w:szCs w:val="21"/>
        </w:rPr>
        <w:t>：同花顺证券板块日收益率期望等于主要股市指数日收益率期望</w:t>
      </w:r>
      <w:r>
        <w:rPr>
          <w:rFonts w:asciiTheme="minorEastAsia" w:hAnsiTheme="minorEastAsia" w:hint="eastAsia"/>
          <w:sz w:val="21"/>
          <w:szCs w:val="21"/>
        </w:rPr>
        <w:t xml:space="preserve">     </w:t>
      </w:r>
      <w:r>
        <w:rPr>
          <w:rFonts w:asciiTheme="minorEastAsia" w:hAnsiTheme="minorEastAsia"/>
          <w:sz w:val="21"/>
          <w:szCs w:val="21"/>
        </w:rPr>
        <w:t>(4)</w:t>
      </w:r>
    </w:p>
    <w:p w:rsidR="00950AD5" w:rsidRDefault="006F3A42">
      <w:pPr>
        <w:ind w:firstLineChars="200" w:firstLine="420"/>
        <w:jc w:val="center"/>
        <w:rPr>
          <w:rFonts w:asciiTheme="minorEastAsia" w:hAnsiTheme="minorEastAsia"/>
          <w:sz w:val="21"/>
          <w:szCs w:val="21"/>
        </w:rPr>
      </w:pPr>
      <w:r>
        <w:rPr>
          <w:rFonts w:asciiTheme="minorEastAsia" w:hAnsiTheme="minorEastAsia" w:hint="eastAsia"/>
          <w:sz w:val="21"/>
          <w:szCs w:val="21"/>
        </w:rPr>
        <w:t xml:space="preserve"> H</w:t>
      </w:r>
      <w:r>
        <w:rPr>
          <w:rFonts w:asciiTheme="minorEastAsia" w:hAnsiTheme="minorEastAsia" w:hint="eastAsia"/>
          <w:sz w:val="21"/>
          <w:szCs w:val="21"/>
          <w:vertAlign w:val="subscript"/>
        </w:rPr>
        <w:t>1</w:t>
      </w:r>
      <w:r>
        <w:rPr>
          <w:rFonts w:asciiTheme="minorEastAsia" w:hAnsiTheme="minorEastAsia" w:hint="eastAsia"/>
          <w:sz w:val="21"/>
          <w:szCs w:val="21"/>
        </w:rPr>
        <w:t>：同花顺证券板块日收益率期望高于主要股市指数日收益率期望</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结果如表</w:t>
      </w:r>
      <w:r>
        <w:rPr>
          <w:rFonts w:asciiTheme="minorEastAsia" w:hAnsiTheme="minorEastAsia" w:hint="eastAsia"/>
          <w:sz w:val="21"/>
          <w:szCs w:val="21"/>
        </w:rPr>
        <w:t>2</w:t>
      </w:r>
      <w:r>
        <w:rPr>
          <w:rFonts w:asciiTheme="minorEastAsia" w:hAnsiTheme="minorEastAsia" w:hint="eastAsia"/>
          <w:sz w:val="21"/>
          <w:szCs w:val="21"/>
        </w:rPr>
        <w:t>所示（显著性水平为</w:t>
      </w:r>
      <w:r>
        <w:rPr>
          <w:rFonts w:asciiTheme="minorEastAsia" w:hAnsiTheme="minorEastAsia" w:hint="eastAsia"/>
          <w:sz w:val="21"/>
          <w:szCs w:val="21"/>
        </w:rPr>
        <w:t>0.10</w:t>
      </w:r>
      <w:r>
        <w:rPr>
          <w:rFonts w:asciiTheme="minorEastAsia" w:hAnsiTheme="minorEastAsia" w:hint="eastAsia"/>
          <w:sz w:val="21"/>
          <w:szCs w:val="21"/>
        </w:rPr>
        <w:t>）：</w:t>
      </w:r>
    </w:p>
    <w:p w:rsidR="00950AD5" w:rsidRDefault="006F3A42" w:rsidP="00472F0E">
      <w:pPr>
        <w:ind w:firstLineChars="200" w:firstLine="360"/>
        <w:jc w:val="center"/>
        <w:rPr>
          <w:rFonts w:ascii="黑体" w:eastAsia="黑体" w:hAnsiTheme="minorEastAsia"/>
          <w:b/>
          <w:sz w:val="18"/>
          <w:szCs w:val="18"/>
        </w:rPr>
      </w:pPr>
      <w:r>
        <w:rPr>
          <w:rFonts w:ascii="黑体" w:eastAsia="黑体" w:hAnsiTheme="minorEastAsia" w:hint="eastAsia"/>
          <w:b/>
          <w:sz w:val="18"/>
          <w:szCs w:val="18"/>
        </w:rPr>
        <w:t>表</w:t>
      </w:r>
      <w:r>
        <w:rPr>
          <w:rFonts w:ascii="黑体" w:eastAsia="黑体" w:hAnsiTheme="minorEastAsia" w:hint="eastAsia"/>
          <w:b/>
          <w:sz w:val="18"/>
          <w:szCs w:val="18"/>
        </w:rPr>
        <w:t>2</w:t>
      </w:r>
      <w:r>
        <w:rPr>
          <w:rFonts w:ascii="黑体" w:eastAsia="黑体" w:hAnsiTheme="minorEastAsia" w:hint="eastAsia"/>
          <w:b/>
          <w:sz w:val="18"/>
          <w:szCs w:val="18"/>
        </w:rPr>
        <w:t>：重要股市指数波动分析</w:t>
      </w:r>
    </w:p>
    <w:tbl>
      <w:tblPr>
        <w:tblStyle w:val="a9"/>
        <w:tblW w:w="8522" w:type="dxa"/>
        <w:tblLayout w:type="fixed"/>
        <w:tblLook w:val="04A0"/>
      </w:tblPr>
      <w:tblGrid>
        <w:gridCol w:w="2211"/>
        <w:gridCol w:w="2859"/>
        <w:gridCol w:w="1349"/>
        <w:gridCol w:w="2103"/>
      </w:tblGrid>
      <w:tr w:rsidR="00950AD5">
        <w:tc>
          <w:tcPr>
            <w:tcW w:w="2211" w:type="dxa"/>
          </w:tcPr>
          <w:p w:rsidR="00950AD5" w:rsidRDefault="006F3A42">
            <w:pPr>
              <w:rPr>
                <w:rFonts w:ascii="楷体" w:eastAsia="楷体" w:hAnsi="楷体"/>
                <w:sz w:val="18"/>
                <w:szCs w:val="18"/>
              </w:rPr>
            </w:pPr>
            <w:r>
              <w:rPr>
                <w:rFonts w:ascii="楷体" w:eastAsia="楷体" w:hAnsi="楷体"/>
                <w:sz w:val="18"/>
                <w:szCs w:val="18"/>
              </w:rPr>
              <w:t>波动阶段</w:t>
            </w:r>
          </w:p>
        </w:tc>
        <w:tc>
          <w:tcPr>
            <w:tcW w:w="2859" w:type="dxa"/>
          </w:tcPr>
          <w:p w:rsidR="00950AD5" w:rsidRDefault="006F3A42">
            <w:pPr>
              <w:rPr>
                <w:rFonts w:ascii="楷体" w:eastAsia="楷体" w:hAnsi="楷体"/>
                <w:sz w:val="18"/>
                <w:szCs w:val="18"/>
              </w:rPr>
            </w:pPr>
            <w:r>
              <w:rPr>
                <w:rFonts w:ascii="楷体" w:eastAsia="楷体" w:hAnsi="楷体"/>
                <w:sz w:val="18"/>
                <w:szCs w:val="18"/>
              </w:rPr>
              <w:t>分析</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单尾</w:t>
            </w:r>
            <w:r>
              <w:rPr>
                <w:rFonts w:ascii="楷体" w:eastAsia="楷体" w:hAnsi="楷体" w:hint="eastAsia"/>
                <w:sz w:val="18"/>
                <w:szCs w:val="18"/>
              </w:rPr>
              <w:t xml:space="preserve"> P </w:t>
            </w:r>
            <w:r>
              <w:rPr>
                <w:rFonts w:ascii="楷体" w:eastAsia="楷体" w:hAnsi="楷体" w:hint="eastAsia"/>
                <w:sz w:val="18"/>
                <w:szCs w:val="18"/>
              </w:rPr>
              <w:t>值</w:t>
            </w:r>
          </w:p>
        </w:tc>
        <w:tc>
          <w:tcPr>
            <w:tcW w:w="2103" w:type="dxa"/>
          </w:tcPr>
          <w:p w:rsidR="00950AD5" w:rsidRDefault="006F3A42">
            <w:pPr>
              <w:rPr>
                <w:rFonts w:ascii="楷体" w:eastAsia="楷体" w:hAnsi="楷体"/>
                <w:sz w:val="18"/>
                <w:szCs w:val="18"/>
              </w:rPr>
            </w:pPr>
            <w:r>
              <w:rPr>
                <w:rFonts w:ascii="楷体" w:eastAsia="楷体" w:hAnsi="楷体"/>
                <w:sz w:val="18"/>
                <w:szCs w:val="18"/>
              </w:rPr>
              <w:t>结论</w:t>
            </w:r>
          </w:p>
        </w:tc>
      </w:tr>
      <w:tr w:rsidR="00950AD5">
        <w:tc>
          <w:tcPr>
            <w:tcW w:w="2211" w:type="dxa"/>
          </w:tcPr>
          <w:p w:rsidR="00950AD5" w:rsidRDefault="006F3A42">
            <w:pPr>
              <w:rPr>
                <w:rFonts w:ascii="楷体" w:eastAsia="楷体" w:hAnsi="楷体"/>
                <w:sz w:val="18"/>
                <w:szCs w:val="18"/>
              </w:rPr>
            </w:pPr>
            <w:r>
              <w:rPr>
                <w:rFonts w:ascii="楷体" w:eastAsia="楷体" w:hAnsi="楷体"/>
                <w:sz w:val="18"/>
                <w:szCs w:val="18"/>
              </w:rPr>
              <w:t>2014/11/20-2015/1/9</w:t>
            </w: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同花顺证券板块与上证指数</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0.03811</w:t>
            </w:r>
          </w:p>
        </w:tc>
        <w:tc>
          <w:tcPr>
            <w:tcW w:w="2103" w:type="dxa"/>
          </w:tcPr>
          <w:p w:rsidR="00950AD5" w:rsidRDefault="006F3A42">
            <w:pPr>
              <w:rPr>
                <w:rFonts w:ascii="楷体" w:eastAsia="楷体" w:hAnsi="楷体"/>
                <w:sz w:val="18"/>
                <w:szCs w:val="18"/>
              </w:rPr>
            </w:pPr>
            <w:r>
              <w:rPr>
                <w:rFonts w:ascii="楷体" w:eastAsia="楷体" w:hAnsi="楷体"/>
                <w:sz w:val="18"/>
                <w:szCs w:val="18"/>
              </w:rPr>
              <w:t>拒绝原假设</w:t>
            </w:r>
          </w:p>
        </w:tc>
      </w:tr>
      <w:tr w:rsidR="00950AD5">
        <w:tc>
          <w:tcPr>
            <w:tcW w:w="2211" w:type="dxa"/>
          </w:tcPr>
          <w:p w:rsidR="00950AD5" w:rsidRDefault="00950AD5">
            <w:pPr>
              <w:rPr>
                <w:rFonts w:ascii="楷体" w:eastAsia="楷体" w:hAnsi="楷体"/>
                <w:sz w:val="18"/>
                <w:szCs w:val="18"/>
              </w:rPr>
            </w:pP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同花顺证券板块与深证成指</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0.04862</w:t>
            </w:r>
          </w:p>
        </w:tc>
        <w:tc>
          <w:tcPr>
            <w:tcW w:w="2103" w:type="dxa"/>
          </w:tcPr>
          <w:p w:rsidR="00950AD5" w:rsidRDefault="006F3A42">
            <w:pPr>
              <w:rPr>
                <w:rFonts w:ascii="楷体" w:eastAsia="楷体" w:hAnsi="楷体"/>
                <w:sz w:val="18"/>
                <w:szCs w:val="18"/>
              </w:rPr>
            </w:pPr>
            <w:r>
              <w:rPr>
                <w:rFonts w:ascii="楷体" w:eastAsia="楷体" w:hAnsi="楷体" w:hint="eastAsia"/>
                <w:sz w:val="18"/>
                <w:szCs w:val="18"/>
              </w:rPr>
              <w:t>拒绝原假设</w:t>
            </w:r>
          </w:p>
        </w:tc>
      </w:tr>
      <w:tr w:rsidR="00950AD5">
        <w:tc>
          <w:tcPr>
            <w:tcW w:w="2211" w:type="dxa"/>
          </w:tcPr>
          <w:p w:rsidR="00950AD5" w:rsidRDefault="006F3A42">
            <w:pPr>
              <w:rPr>
                <w:rFonts w:ascii="楷体" w:eastAsia="楷体" w:hAnsi="楷体"/>
                <w:sz w:val="18"/>
                <w:szCs w:val="18"/>
              </w:rPr>
            </w:pPr>
            <w:r>
              <w:rPr>
                <w:rFonts w:ascii="楷体" w:eastAsia="楷体" w:hAnsi="楷体"/>
                <w:sz w:val="18"/>
                <w:szCs w:val="18"/>
              </w:rPr>
              <w:t>2015/5/19-2015/6/12</w:t>
            </w: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同花顺证券板块与上证指数</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0.18437</w:t>
            </w:r>
          </w:p>
        </w:tc>
        <w:tc>
          <w:tcPr>
            <w:tcW w:w="2103" w:type="dxa"/>
          </w:tcPr>
          <w:p w:rsidR="00950AD5" w:rsidRDefault="006F3A42">
            <w:pPr>
              <w:rPr>
                <w:rFonts w:ascii="楷体" w:eastAsia="楷体" w:hAnsi="楷体"/>
                <w:sz w:val="18"/>
                <w:szCs w:val="18"/>
              </w:rPr>
            </w:pPr>
            <w:r>
              <w:rPr>
                <w:rFonts w:ascii="楷体" w:eastAsia="楷体" w:hAnsi="楷体"/>
                <w:sz w:val="18"/>
                <w:szCs w:val="18"/>
              </w:rPr>
              <w:t>接受原假设</w:t>
            </w:r>
          </w:p>
        </w:tc>
      </w:tr>
      <w:tr w:rsidR="00950AD5">
        <w:tc>
          <w:tcPr>
            <w:tcW w:w="2211" w:type="dxa"/>
          </w:tcPr>
          <w:p w:rsidR="00950AD5" w:rsidRDefault="00950AD5">
            <w:pPr>
              <w:rPr>
                <w:rFonts w:ascii="楷体" w:eastAsia="楷体" w:hAnsi="楷体"/>
                <w:sz w:val="18"/>
                <w:szCs w:val="18"/>
              </w:rPr>
            </w:pP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同花顺证券板块与深证成指</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0.21257</w:t>
            </w:r>
          </w:p>
        </w:tc>
        <w:tc>
          <w:tcPr>
            <w:tcW w:w="2103" w:type="dxa"/>
          </w:tcPr>
          <w:p w:rsidR="00950AD5" w:rsidRDefault="006F3A42">
            <w:pPr>
              <w:rPr>
                <w:rFonts w:ascii="楷体" w:eastAsia="楷体" w:hAnsi="楷体"/>
                <w:sz w:val="18"/>
                <w:szCs w:val="18"/>
              </w:rPr>
            </w:pPr>
            <w:r>
              <w:rPr>
                <w:rFonts w:ascii="楷体" w:eastAsia="楷体" w:hAnsi="楷体" w:hint="eastAsia"/>
                <w:sz w:val="18"/>
                <w:szCs w:val="18"/>
              </w:rPr>
              <w:t>接受原假设</w:t>
            </w:r>
          </w:p>
        </w:tc>
      </w:tr>
      <w:tr w:rsidR="00950AD5">
        <w:tc>
          <w:tcPr>
            <w:tcW w:w="2211" w:type="dxa"/>
          </w:tcPr>
          <w:p w:rsidR="00950AD5" w:rsidRDefault="006F3A42">
            <w:pPr>
              <w:rPr>
                <w:rFonts w:ascii="楷体" w:eastAsia="楷体" w:hAnsi="楷体"/>
                <w:sz w:val="18"/>
                <w:szCs w:val="18"/>
              </w:rPr>
            </w:pPr>
            <w:r>
              <w:rPr>
                <w:rFonts w:ascii="楷体" w:eastAsia="楷体" w:hAnsi="楷体"/>
                <w:sz w:val="18"/>
                <w:szCs w:val="18"/>
              </w:rPr>
              <w:t>2015/8/18-2015/8/31</w:t>
            </w: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同花顺证券板块与上证指数</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0.02671</w:t>
            </w:r>
          </w:p>
        </w:tc>
        <w:tc>
          <w:tcPr>
            <w:tcW w:w="2103" w:type="dxa"/>
          </w:tcPr>
          <w:p w:rsidR="00950AD5" w:rsidRDefault="006F3A42">
            <w:pPr>
              <w:rPr>
                <w:rFonts w:ascii="楷体" w:eastAsia="楷体" w:hAnsi="楷体"/>
                <w:sz w:val="18"/>
                <w:szCs w:val="18"/>
              </w:rPr>
            </w:pPr>
            <w:r>
              <w:rPr>
                <w:rFonts w:ascii="楷体" w:eastAsia="楷体" w:hAnsi="楷体"/>
                <w:sz w:val="18"/>
                <w:szCs w:val="18"/>
              </w:rPr>
              <w:t>拒绝原假设</w:t>
            </w:r>
          </w:p>
        </w:tc>
      </w:tr>
      <w:tr w:rsidR="00950AD5">
        <w:tc>
          <w:tcPr>
            <w:tcW w:w="2211" w:type="dxa"/>
          </w:tcPr>
          <w:p w:rsidR="00950AD5" w:rsidRDefault="00950AD5">
            <w:pPr>
              <w:rPr>
                <w:rFonts w:ascii="楷体" w:eastAsia="楷体" w:hAnsi="楷体"/>
                <w:sz w:val="18"/>
                <w:szCs w:val="18"/>
              </w:rPr>
            </w:pP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同花顺证券板块与深证成指</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0.09533</w:t>
            </w:r>
          </w:p>
        </w:tc>
        <w:tc>
          <w:tcPr>
            <w:tcW w:w="2103" w:type="dxa"/>
          </w:tcPr>
          <w:p w:rsidR="00950AD5" w:rsidRDefault="006F3A42">
            <w:pPr>
              <w:rPr>
                <w:rFonts w:ascii="楷体" w:eastAsia="楷体" w:hAnsi="楷体"/>
                <w:sz w:val="18"/>
                <w:szCs w:val="18"/>
              </w:rPr>
            </w:pPr>
            <w:r>
              <w:rPr>
                <w:rFonts w:ascii="楷体" w:eastAsia="楷体" w:hAnsi="楷体"/>
                <w:sz w:val="18"/>
                <w:szCs w:val="18"/>
              </w:rPr>
              <w:t>拒绝原假设</w:t>
            </w:r>
          </w:p>
        </w:tc>
      </w:tr>
      <w:tr w:rsidR="00950AD5">
        <w:tc>
          <w:tcPr>
            <w:tcW w:w="2211" w:type="dxa"/>
          </w:tcPr>
          <w:p w:rsidR="00950AD5" w:rsidRDefault="006F3A42">
            <w:pPr>
              <w:rPr>
                <w:rFonts w:ascii="楷体" w:eastAsia="楷体" w:hAnsi="楷体"/>
                <w:sz w:val="18"/>
                <w:szCs w:val="18"/>
              </w:rPr>
            </w:pPr>
            <w:r>
              <w:rPr>
                <w:rFonts w:ascii="楷体" w:eastAsia="楷体" w:hAnsi="楷体" w:hint="eastAsia"/>
                <w:sz w:val="18"/>
                <w:szCs w:val="18"/>
              </w:rPr>
              <w:t>2015/12/23-2016/1/27</w:t>
            </w: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同花顺证券板块与上证指数</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0.04374</w:t>
            </w:r>
          </w:p>
        </w:tc>
        <w:tc>
          <w:tcPr>
            <w:tcW w:w="2103" w:type="dxa"/>
          </w:tcPr>
          <w:p w:rsidR="00950AD5" w:rsidRDefault="006F3A42">
            <w:pPr>
              <w:rPr>
                <w:rFonts w:ascii="楷体" w:eastAsia="楷体" w:hAnsi="楷体"/>
                <w:sz w:val="18"/>
                <w:szCs w:val="18"/>
              </w:rPr>
            </w:pPr>
            <w:r>
              <w:rPr>
                <w:rFonts w:ascii="楷体" w:eastAsia="楷体" w:hAnsi="楷体"/>
                <w:sz w:val="18"/>
                <w:szCs w:val="18"/>
              </w:rPr>
              <w:t>拒绝原假设</w:t>
            </w:r>
          </w:p>
        </w:tc>
      </w:tr>
      <w:tr w:rsidR="00950AD5">
        <w:tc>
          <w:tcPr>
            <w:tcW w:w="2211" w:type="dxa"/>
          </w:tcPr>
          <w:p w:rsidR="00950AD5" w:rsidRDefault="00950AD5">
            <w:pPr>
              <w:rPr>
                <w:rFonts w:ascii="楷体" w:eastAsia="楷体" w:hAnsi="楷体"/>
                <w:sz w:val="18"/>
                <w:szCs w:val="18"/>
              </w:rPr>
            </w:pPr>
          </w:p>
        </w:tc>
        <w:tc>
          <w:tcPr>
            <w:tcW w:w="2859" w:type="dxa"/>
          </w:tcPr>
          <w:p w:rsidR="00950AD5" w:rsidRDefault="006F3A42">
            <w:pPr>
              <w:rPr>
                <w:rFonts w:ascii="楷体" w:eastAsia="楷体" w:hAnsi="楷体"/>
                <w:sz w:val="18"/>
                <w:szCs w:val="18"/>
              </w:rPr>
            </w:pPr>
            <w:r>
              <w:rPr>
                <w:rFonts w:ascii="楷体" w:eastAsia="楷体" w:hAnsi="楷体" w:hint="eastAsia"/>
                <w:sz w:val="18"/>
                <w:szCs w:val="18"/>
              </w:rPr>
              <w:t>同花顺证券板块与深证成指</w:t>
            </w:r>
          </w:p>
        </w:tc>
        <w:tc>
          <w:tcPr>
            <w:tcW w:w="1349" w:type="dxa"/>
          </w:tcPr>
          <w:p w:rsidR="00950AD5" w:rsidRDefault="006F3A42">
            <w:pPr>
              <w:rPr>
                <w:rFonts w:ascii="楷体" w:eastAsia="楷体" w:hAnsi="楷体"/>
                <w:sz w:val="18"/>
                <w:szCs w:val="18"/>
              </w:rPr>
            </w:pPr>
            <w:r>
              <w:rPr>
                <w:rFonts w:ascii="楷体" w:eastAsia="楷体" w:hAnsi="楷体" w:hint="eastAsia"/>
                <w:sz w:val="18"/>
                <w:szCs w:val="18"/>
              </w:rPr>
              <w:t>0.08343</w:t>
            </w:r>
          </w:p>
        </w:tc>
        <w:tc>
          <w:tcPr>
            <w:tcW w:w="2103" w:type="dxa"/>
          </w:tcPr>
          <w:p w:rsidR="00950AD5" w:rsidRDefault="006F3A42">
            <w:pPr>
              <w:rPr>
                <w:rFonts w:ascii="楷体" w:eastAsia="楷体" w:hAnsi="楷体"/>
                <w:sz w:val="18"/>
                <w:szCs w:val="18"/>
              </w:rPr>
            </w:pPr>
            <w:r>
              <w:rPr>
                <w:rFonts w:ascii="楷体" w:eastAsia="楷体" w:hAnsi="楷体"/>
                <w:sz w:val="18"/>
                <w:szCs w:val="18"/>
              </w:rPr>
              <w:t>拒绝原假设</w:t>
            </w:r>
          </w:p>
        </w:tc>
      </w:tr>
    </w:tbl>
    <w:p w:rsidR="00950AD5" w:rsidRDefault="006F3A42">
      <w:pPr>
        <w:ind w:firstLineChars="200" w:firstLine="420"/>
        <w:rPr>
          <w:rFonts w:asciiTheme="minorEastAsia" w:hAnsiTheme="minorEastAsia"/>
          <w:color w:val="FF0000"/>
          <w:sz w:val="21"/>
          <w:szCs w:val="21"/>
        </w:rPr>
      </w:pPr>
      <w:r>
        <w:rPr>
          <w:rFonts w:asciiTheme="minorEastAsia" w:hAnsiTheme="minorEastAsia"/>
          <w:sz w:val="21"/>
          <w:szCs w:val="21"/>
        </w:rPr>
        <w:t>以上结论大多拒绝了原假设，表明在快速上涨和快速下跌期间证券板块波动要比上证指数和深证成指波动的幅度大，即券商股在</w:t>
      </w:r>
      <w:r>
        <w:rPr>
          <w:rFonts w:asciiTheme="minorEastAsia" w:hAnsiTheme="minorEastAsia"/>
          <w:sz w:val="21"/>
          <w:szCs w:val="21"/>
        </w:rPr>
        <w:t>2015</w:t>
      </w:r>
      <w:r>
        <w:rPr>
          <w:rFonts w:asciiTheme="minorEastAsia" w:hAnsiTheme="minorEastAsia"/>
          <w:sz w:val="21"/>
          <w:szCs w:val="21"/>
        </w:rPr>
        <w:t>年的股市剧烈波动中扮演了重要的角色，可</w:t>
      </w:r>
      <w:r>
        <w:rPr>
          <w:rFonts w:asciiTheme="minorEastAsia" w:hAnsiTheme="minorEastAsia"/>
          <w:sz w:val="21"/>
          <w:szCs w:val="21"/>
        </w:rPr>
        <w:lastRenderedPageBreak/>
        <w:t>以说起到了推波助澜的作用，特别是在</w:t>
      </w:r>
      <w:r>
        <w:rPr>
          <w:rFonts w:asciiTheme="minorEastAsia" w:hAnsiTheme="minorEastAsia"/>
          <w:sz w:val="21"/>
          <w:szCs w:val="21"/>
        </w:rPr>
        <w:t>2015</w:t>
      </w:r>
      <w:r>
        <w:rPr>
          <w:rFonts w:asciiTheme="minorEastAsia" w:hAnsiTheme="minorEastAsia"/>
          <w:sz w:val="21"/>
          <w:szCs w:val="21"/>
        </w:rPr>
        <w:t>年融资融券业务的快速发展给券商带来丰厚利润的情况下。结合高管违规事件的相关研究，可以表明券商在股市中的作用不容忽视，接下来本文将从内部治理和外部治理两个角度进一步对券商的违规事件进行分析。</w:t>
      </w:r>
    </w:p>
    <w:p w:rsidR="00950AD5" w:rsidRDefault="006F3A42">
      <w:pPr>
        <w:pStyle w:val="1"/>
        <w:spacing w:line="240" w:lineRule="auto"/>
        <w:rPr>
          <w:rFonts w:ascii="黑体" w:hAnsiTheme="minorEastAsia"/>
          <w:b w:val="0"/>
          <w:szCs w:val="28"/>
        </w:rPr>
      </w:pPr>
      <w:r>
        <w:rPr>
          <w:rFonts w:ascii="黑体" w:hAnsiTheme="minorEastAsia" w:hint="eastAsia"/>
          <w:b w:val="0"/>
          <w:szCs w:val="28"/>
        </w:rPr>
        <w:t>四</w:t>
      </w:r>
      <w:r>
        <w:rPr>
          <w:rFonts w:ascii="黑体" w:hAnsiTheme="minorEastAsia" w:hint="eastAsia"/>
          <w:b w:val="0"/>
          <w:szCs w:val="28"/>
        </w:rPr>
        <w:t xml:space="preserve"> </w:t>
      </w:r>
      <w:r>
        <w:rPr>
          <w:rFonts w:ascii="黑体" w:hAnsiTheme="minorEastAsia" w:hint="eastAsia"/>
          <w:b w:val="0"/>
          <w:szCs w:val="28"/>
        </w:rPr>
        <w:t>券商内部治理分析</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券商作为连接企业、投资者、资本市场的中介和桥梁，在保障证券市场持续稳健运行中起着重要的作用。为保证券</w:t>
      </w:r>
      <w:r>
        <w:rPr>
          <w:rFonts w:asciiTheme="minorEastAsia" w:hAnsiTheme="minorEastAsia" w:hint="eastAsia"/>
          <w:sz w:val="21"/>
          <w:szCs w:val="21"/>
        </w:rPr>
        <w:t>商持续、规范经营，化解和防范金融风险和从根本上解决券商存在的问题，需要建立完善、科学的内部治理机制，注重企业管理的自我调控机制以及企业内部管理规章制度的约束</w:t>
      </w:r>
      <w:r>
        <w:rPr>
          <w:rFonts w:asciiTheme="minorEastAsia" w:hAnsiTheme="minorEastAsia" w:hint="eastAsia"/>
          <w:sz w:val="21"/>
          <w:szCs w:val="21"/>
          <w:vertAlign w:val="superscript"/>
        </w:rPr>
        <w:t>[12]</w:t>
      </w:r>
      <w:r>
        <w:rPr>
          <w:rFonts w:asciiTheme="minorEastAsia" w:hAnsiTheme="minorEastAsia" w:hint="eastAsia"/>
          <w:sz w:val="21"/>
          <w:szCs w:val="21"/>
        </w:rPr>
        <w:t>。</w:t>
      </w:r>
      <w:r>
        <w:rPr>
          <w:rFonts w:asciiTheme="minorEastAsia" w:hAnsiTheme="minorEastAsia"/>
          <w:color w:val="FF0000"/>
          <w:sz w:val="21"/>
          <w:szCs w:val="21"/>
          <w:vertAlign w:val="superscript"/>
        </w:rPr>
        <w:t xml:space="preserve"> </w:t>
      </w:r>
    </w:p>
    <w:p w:rsidR="00950AD5" w:rsidRDefault="006F3A42">
      <w:pPr>
        <w:pStyle w:val="2"/>
        <w:spacing w:line="240" w:lineRule="auto"/>
        <w:rPr>
          <w:rFonts w:ascii="黑体" w:eastAsia="黑体" w:hAnsiTheme="minorEastAsia"/>
          <w:b w:val="0"/>
          <w:sz w:val="24"/>
          <w:szCs w:val="24"/>
        </w:rPr>
      </w:pPr>
      <w:r>
        <w:rPr>
          <w:rFonts w:ascii="黑体" w:eastAsia="黑体" w:hAnsiTheme="minorEastAsia" w:hint="eastAsia"/>
          <w:b w:val="0"/>
          <w:sz w:val="24"/>
          <w:szCs w:val="24"/>
        </w:rPr>
        <w:t>(</w:t>
      </w:r>
      <w:r>
        <w:rPr>
          <w:rFonts w:ascii="黑体" w:eastAsia="黑体" w:hAnsiTheme="minorEastAsia" w:hint="eastAsia"/>
          <w:b w:val="0"/>
          <w:sz w:val="24"/>
          <w:szCs w:val="24"/>
        </w:rPr>
        <w:t>一</w:t>
      </w:r>
      <w:r>
        <w:rPr>
          <w:rFonts w:ascii="黑体" w:eastAsia="黑体" w:hAnsiTheme="minorEastAsia" w:hint="eastAsia"/>
          <w:b w:val="0"/>
          <w:sz w:val="24"/>
          <w:szCs w:val="24"/>
        </w:rPr>
        <w:t xml:space="preserve">) </w:t>
      </w:r>
      <w:r>
        <w:rPr>
          <w:rFonts w:ascii="黑体" w:eastAsia="黑体" w:hAnsiTheme="minorEastAsia" w:hint="eastAsia"/>
          <w:b w:val="0"/>
          <w:sz w:val="24"/>
          <w:szCs w:val="24"/>
        </w:rPr>
        <w:t>业务规范问题的分析</w:t>
      </w:r>
    </w:p>
    <w:p w:rsidR="00950AD5" w:rsidRDefault="006F3A42">
      <w:pPr>
        <w:pStyle w:val="3"/>
        <w:spacing w:line="240" w:lineRule="auto"/>
        <w:rPr>
          <w:rFonts w:asciiTheme="minorEastAsia" w:hAnsiTheme="minorEastAsia"/>
          <w:b w:val="0"/>
          <w:sz w:val="21"/>
          <w:szCs w:val="21"/>
        </w:rPr>
      </w:pPr>
      <w:r>
        <w:rPr>
          <w:rFonts w:asciiTheme="minorEastAsia" w:hAnsiTheme="minorEastAsia" w:hint="eastAsia"/>
          <w:b w:val="0"/>
          <w:sz w:val="21"/>
          <w:szCs w:val="21"/>
        </w:rPr>
        <w:t>1</w:t>
      </w:r>
      <w:r>
        <w:rPr>
          <w:rFonts w:asciiTheme="minorEastAsia" w:hAnsiTheme="minorEastAsia" w:hint="eastAsia"/>
          <w:b w:val="0"/>
          <w:sz w:val="21"/>
          <w:szCs w:val="21"/>
        </w:rPr>
        <w:t>、</w:t>
      </w:r>
      <w:r>
        <w:rPr>
          <w:rFonts w:asciiTheme="minorEastAsia" w:hAnsiTheme="minorEastAsia" w:hint="eastAsia"/>
          <w:b w:val="0"/>
          <w:sz w:val="21"/>
          <w:szCs w:val="21"/>
        </w:rPr>
        <w:t xml:space="preserve"> </w:t>
      </w:r>
      <w:r>
        <w:rPr>
          <w:rFonts w:asciiTheme="minorEastAsia" w:hAnsiTheme="minorEastAsia" w:hint="eastAsia"/>
          <w:b w:val="0"/>
          <w:sz w:val="21"/>
          <w:szCs w:val="21"/>
        </w:rPr>
        <w:t>非法融资融券</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融资融券业务是指经中国证监会和中国证券业协会批准并获得了上海交易所或深圳交易所两融业务资格的券商，将资金借予其有扩大投资规模需求但却缺乏资金的经纪业务客户供其买入交易所和券商允许买入的标的证券，或将交易所和券商允许的标的证券借予其看空市场的经纪业务客户供其卖出证券的业务。</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作为从</w:t>
      </w:r>
      <w:r>
        <w:rPr>
          <w:rFonts w:asciiTheme="minorEastAsia" w:hAnsiTheme="minorEastAsia" w:hint="eastAsia"/>
          <w:sz w:val="21"/>
          <w:szCs w:val="21"/>
        </w:rPr>
        <w:t>2010</w:t>
      </w:r>
      <w:r>
        <w:rPr>
          <w:rFonts w:asciiTheme="minorEastAsia" w:hAnsiTheme="minorEastAsia" w:hint="eastAsia"/>
          <w:sz w:val="21"/>
          <w:szCs w:val="21"/>
        </w:rPr>
        <w:t>年</w:t>
      </w:r>
      <w:r>
        <w:rPr>
          <w:rFonts w:asciiTheme="minorEastAsia" w:hAnsiTheme="minorEastAsia" w:hint="eastAsia"/>
          <w:sz w:val="21"/>
          <w:szCs w:val="21"/>
        </w:rPr>
        <w:t>3</w:t>
      </w:r>
      <w:r>
        <w:rPr>
          <w:rFonts w:asciiTheme="minorEastAsia" w:hAnsiTheme="minorEastAsia" w:hint="eastAsia"/>
          <w:sz w:val="21"/>
          <w:szCs w:val="21"/>
        </w:rPr>
        <w:t>月份才起步的创新业务，</w:t>
      </w:r>
      <w:r>
        <w:rPr>
          <w:rFonts w:asciiTheme="minorEastAsia" w:hAnsiTheme="minorEastAsia" w:hint="eastAsia"/>
          <w:sz w:val="21"/>
          <w:szCs w:val="21"/>
        </w:rPr>
        <w:t>2015</w:t>
      </w:r>
      <w:r>
        <w:rPr>
          <w:rFonts w:asciiTheme="minorEastAsia" w:hAnsiTheme="minorEastAsia" w:hint="eastAsia"/>
          <w:sz w:val="21"/>
          <w:szCs w:val="21"/>
        </w:rPr>
        <w:t>年随着股市的剧烈波动，沪深两市的两融规模也经历了大起大落。</w:t>
      </w:r>
      <w:r>
        <w:rPr>
          <w:rFonts w:asciiTheme="minorEastAsia" w:hAnsiTheme="minorEastAsia" w:hint="eastAsia"/>
          <w:sz w:val="21"/>
          <w:szCs w:val="21"/>
        </w:rPr>
        <w:t>2015</w:t>
      </w:r>
      <w:r>
        <w:rPr>
          <w:rFonts w:asciiTheme="minorEastAsia" w:hAnsiTheme="minorEastAsia" w:hint="eastAsia"/>
          <w:sz w:val="21"/>
          <w:szCs w:val="21"/>
        </w:rPr>
        <w:t>年年初，沪深两市融资融券规模为</w:t>
      </w:r>
      <w:r>
        <w:rPr>
          <w:rFonts w:asciiTheme="minorEastAsia" w:hAnsiTheme="minorEastAsia" w:hint="eastAsia"/>
          <w:sz w:val="21"/>
          <w:szCs w:val="21"/>
        </w:rPr>
        <w:t>10256.56</w:t>
      </w:r>
      <w:r>
        <w:rPr>
          <w:rFonts w:asciiTheme="minorEastAsia" w:hAnsiTheme="minorEastAsia" w:hint="eastAsia"/>
          <w:sz w:val="21"/>
          <w:szCs w:val="21"/>
        </w:rPr>
        <w:t>亿元。而在</w:t>
      </w:r>
      <w:r>
        <w:rPr>
          <w:rFonts w:asciiTheme="minorEastAsia" w:hAnsiTheme="minorEastAsia" w:hint="eastAsia"/>
          <w:sz w:val="21"/>
          <w:szCs w:val="21"/>
        </w:rPr>
        <w:t>2015</w:t>
      </w:r>
      <w:r>
        <w:rPr>
          <w:rFonts w:asciiTheme="minorEastAsia" w:hAnsiTheme="minorEastAsia" w:hint="eastAsia"/>
          <w:sz w:val="21"/>
          <w:szCs w:val="21"/>
        </w:rPr>
        <w:t>年前</w:t>
      </w:r>
      <w:r>
        <w:rPr>
          <w:rFonts w:asciiTheme="minorEastAsia" w:hAnsiTheme="minorEastAsia" w:hint="eastAsia"/>
          <w:sz w:val="21"/>
          <w:szCs w:val="21"/>
        </w:rPr>
        <w:t>5</w:t>
      </w:r>
      <w:r>
        <w:rPr>
          <w:rFonts w:asciiTheme="minorEastAsia" w:hAnsiTheme="minorEastAsia" w:hint="eastAsia"/>
          <w:sz w:val="21"/>
          <w:szCs w:val="21"/>
        </w:rPr>
        <w:t>个月，融资融券规模迅速突破</w:t>
      </w:r>
      <w:r>
        <w:rPr>
          <w:rFonts w:asciiTheme="minorEastAsia" w:hAnsiTheme="minorEastAsia" w:hint="eastAsia"/>
          <w:sz w:val="21"/>
          <w:szCs w:val="21"/>
        </w:rPr>
        <w:t>2</w:t>
      </w:r>
      <w:r>
        <w:rPr>
          <w:rFonts w:asciiTheme="minorEastAsia" w:hAnsiTheme="minorEastAsia" w:hint="eastAsia"/>
          <w:sz w:val="21"/>
          <w:szCs w:val="21"/>
        </w:rPr>
        <w:t>万亿元，并在</w:t>
      </w:r>
      <w:r>
        <w:rPr>
          <w:rFonts w:asciiTheme="minorEastAsia" w:hAnsiTheme="minorEastAsia" w:hint="eastAsia"/>
          <w:sz w:val="21"/>
          <w:szCs w:val="21"/>
        </w:rPr>
        <w:t>6</w:t>
      </w:r>
      <w:r>
        <w:rPr>
          <w:rFonts w:asciiTheme="minorEastAsia" w:hAnsiTheme="minorEastAsia" w:hint="eastAsia"/>
          <w:sz w:val="21"/>
          <w:szCs w:val="21"/>
        </w:rPr>
        <w:t>月</w:t>
      </w:r>
      <w:r>
        <w:rPr>
          <w:rFonts w:asciiTheme="minorEastAsia" w:hAnsiTheme="minorEastAsia" w:hint="eastAsia"/>
          <w:sz w:val="21"/>
          <w:szCs w:val="21"/>
        </w:rPr>
        <w:t>18</w:t>
      </w:r>
      <w:r>
        <w:rPr>
          <w:rFonts w:asciiTheme="minorEastAsia" w:hAnsiTheme="minorEastAsia" w:hint="eastAsia"/>
          <w:sz w:val="21"/>
          <w:szCs w:val="21"/>
        </w:rPr>
        <w:t>日达到</w:t>
      </w:r>
      <w:r>
        <w:rPr>
          <w:rFonts w:asciiTheme="minorEastAsia" w:hAnsiTheme="minorEastAsia" w:hint="eastAsia"/>
          <w:sz w:val="21"/>
          <w:szCs w:val="21"/>
        </w:rPr>
        <w:t>2.27</w:t>
      </w:r>
      <w:r>
        <w:rPr>
          <w:rFonts w:asciiTheme="minorEastAsia" w:hAnsiTheme="minorEastAsia" w:hint="eastAsia"/>
          <w:sz w:val="21"/>
          <w:szCs w:val="21"/>
        </w:rPr>
        <w:t>万亿元的历史峰值。之后融资融券规模伴随股市的快速下跌而迅速萎缩，</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9</w:t>
      </w:r>
      <w:r>
        <w:rPr>
          <w:rFonts w:asciiTheme="minorEastAsia" w:hAnsiTheme="minorEastAsia" w:hint="eastAsia"/>
          <w:sz w:val="21"/>
          <w:szCs w:val="21"/>
        </w:rPr>
        <w:t>月份融资融券余额触及</w:t>
      </w:r>
      <w:r>
        <w:rPr>
          <w:rFonts w:asciiTheme="minorEastAsia" w:hAnsiTheme="minorEastAsia" w:hint="eastAsia"/>
          <w:sz w:val="21"/>
          <w:szCs w:val="21"/>
        </w:rPr>
        <w:t>9622.62</w:t>
      </w:r>
      <w:r>
        <w:rPr>
          <w:rFonts w:asciiTheme="minorEastAsia" w:hAnsiTheme="minorEastAsia" w:hint="eastAsia"/>
          <w:sz w:val="21"/>
          <w:szCs w:val="21"/>
        </w:rPr>
        <w:t>亿元的年内低点，截至</w:t>
      </w:r>
      <w:r>
        <w:rPr>
          <w:rFonts w:asciiTheme="minorEastAsia" w:hAnsiTheme="minorEastAsia" w:hint="eastAsia"/>
          <w:sz w:val="21"/>
          <w:szCs w:val="21"/>
        </w:rPr>
        <w:t>12</w:t>
      </w:r>
      <w:r>
        <w:rPr>
          <w:rFonts w:asciiTheme="minorEastAsia" w:hAnsiTheme="minorEastAsia" w:hint="eastAsia"/>
          <w:sz w:val="21"/>
          <w:szCs w:val="21"/>
        </w:rPr>
        <w:t>月</w:t>
      </w:r>
      <w:r>
        <w:rPr>
          <w:rFonts w:asciiTheme="minorEastAsia" w:hAnsiTheme="minorEastAsia" w:hint="eastAsia"/>
          <w:sz w:val="21"/>
          <w:szCs w:val="21"/>
        </w:rPr>
        <w:t>28</w:t>
      </w:r>
      <w:r>
        <w:rPr>
          <w:rFonts w:asciiTheme="minorEastAsia" w:hAnsiTheme="minorEastAsia" w:hint="eastAsia"/>
          <w:sz w:val="21"/>
          <w:szCs w:val="21"/>
        </w:rPr>
        <w:t>日，融资融券规模为</w:t>
      </w:r>
      <w:r>
        <w:rPr>
          <w:rFonts w:asciiTheme="minorEastAsia" w:hAnsiTheme="minorEastAsia" w:hint="eastAsia"/>
          <w:sz w:val="21"/>
          <w:szCs w:val="21"/>
        </w:rPr>
        <w:t>11894.2</w:t>
      </w:r>
      <w:r>
        <w:rPr>
          <w:rFonts w:asciiTheme="minorEastAsia" w:hAnsiTheme="minorEastAsia" w:hint="eastAsia"/>
          <w:sz w:val="21"/>
          <w:szCs w:val="21"/>
        </w:rPr>
        <w:t>亿元，相较</w:t>
      </w:r>
      <w:r>
        <w:rPr>
          <w:rFonts w:asciiTheme="minorEastAsia" w:hAnsiTheme="minorEastAsia" w:hint="eastAsia"/>
          <w:sz w:val="21"/>
          <w:szCs w:val="21"/>
        </w:rPr>
        <w:t>2015</w:t>
      </w:r>
      <w:r>
        <w:rPr>
          <w:rFonts w:asciiTheme="minorEastAsia" w:hAnsiTheme="minorEastAsia" w:hint="eastAsia"/>
          <w:sz w:val="21"/>
          <w:szCs w:val="21"/>
        </w:rPr>
        <w:t>年年初仅增长</w:t>
      </w:r>
      <w:r>
        <w:rPr>
          <w:rFonts w:asciiTheme="minorEastAsia" w:hAnsiTheme="minorEastAsia" w:hint="eastAsia"/>
          <w:sz w:val="21"/>
          <w:szCs w:val="21"/>
        </w:rPr>
        <w:t>15%</w:t>
      </w:r>
      <w:r>
        <w:rPr>
          <w:rFonts w:asciiTheme="minorEastAsia" w:hAnsiTheme="minorEastAsia" w:hint="eastAsia"/>
          <w:sz w:val="21"/>
          <w:szCs w:val="21"/>
        </w:rPr>
        <w:t>，几乎回到了</w:t>
      </w:r>
      <w:r>
        <w:rPr>
          <w:rFonts w:asciiTheme="minorEastAsia" w:hAnsiTheme="minorEastAsia" w:hint="eastAsia"/>
          <w:sz w:val="21"/>
          <w:szCs w:val="21"/>
        </w:rPr>
        <w:t>2015</w:t>
      </w:r>
      <w:r>
        <w:rPr>
          <w:rFonts w:asciiTheme="minorEastAsia" w:hAnsiTheme="minorEastAsia" w:hint="eastAsia"/>
          <w:sz w:val="21"/>
          <w:szCs w:val="21"/>
        </w:rPr>
        <w:t>年年初的原点。</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毫无疑问，券商融资融券</w:t>
      </w:r>
      <w:r>
        <w:rPr>
          <w:rFonts w:asciiTheme="minorEastAsia" w:hAnsiTheme="minorEastAsia" w:hint="eastAsia"/>
          <w:sz w:val="21"/>
          <w:szCs w:val="21"/>
        </w:rPr>
        <w:t>业务的杠杆资金对</w:t>
      </w:r>
      <w:r>
        <w:rPr>
          <w:rFonts w:asciiTheme="minorEastAsia" w:hAnsiTheme="minorEastAsia" w:hint="eastAsia"/>
          <w:sz w:val="21"/>
          <w:szCs w:val="21"/>
        </w:rPr>
        <w:t>2015</w:t>
      </w:r>
      <w:r>
        <w:rPr>
          <w:rFonts w:asciiTheme="minorEastAsia" w:hAnsiTheme="minorEastAsia" w:hint="eastAsia"/>
          <w:sz w:val="21"/>
          <w:szCs w:val="21"/>
        </w:rPr>
        <w:t>年股市的剧烈波动起到了推波助澜的作用，然而杠杆的过度运用也反映出券商在创新业务的推行过程中并没有一套规范的业务机制。以下为</w:t>
      </w:r>
      <w:r>
        <w:rPr>
          <w:rFonts w:asciiTheme="minorEastAsia" w:hAnsiTheme="minorEastAsia" w:hint="eastAsia"/>
          <w:sz w:val="21"/>
          <w:szCs w:val="21"/>
        </w:rPr>
        <w:t>2015</w:t>
      </w:r>
      <w:r>
        <w:rPr>
          <w:rFonts w:asciiTheme="minorEastAsia" w:hAnsiTheme="minorEastAsia" w:hint="eastAsia"/>
          <w:sz w:val="21"/>
          <w:szCs w:val="21"/>
        </w:rPr>
        <w:t>年券商融资融券违规的事件：</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w:t>
      </w:r>
      <w:r>
        <w:rPr>
          <w:rFonts w:asciiTheme="minorEastAsia" w:hAnsiTheme="minorEastAsia" w:hint="eastAsia"/>
          <w:sz w:val="21"/>
          <w:szCs w:val="21"/>
        </w:rPr>
        <w:t>月</w:t>
      </w:r>
      <w:r>
        <w:rPr>
          <w:rFonts w:asciiTheme="minorEastAsia" w:hAnsiTheme="minorEastAsia" w:hint="eastAsia"/>
          <w:sz w:val="21"/>
          <w:szCs w:val="21"/>
        </w:rPr>
        <w:t>16</w:t>
      </w:r>
      <w:r>
        <w:rPr>
          <w:rFonts w:asciiTheme="minorEastAsia" w:hAnsiTheme="minorEastAsia" w:hint="eastAsia"/>
          <w:sz w:val="21"/>
          <w:szCs w:val="21"/>
        </w:rPr>
        <w:t>日，因存在违规为到期融资融券合约展期问题，受过处理仍未改正，且涉及客户数量较多，中信证券、海通证券、国泰君安证券</w:t>
      </w:r>
      <w:r>
        <w:rPr>
          <w:rFonts w:asciiTheme="minorEastAsia" w:hAnsiTheme="minorEastAsia" w:hint="eastAsia"/>
          <w:sz w:val="21"/>
          <w:szCs w:val="21"/>
        </w:rPr>
        <w:t>3</w:t>
      </w:r>
      <w:r>
        <w:rPr>
          <w:rFonts w:asciiTheme="minorEastAsia" w:hAnsiTheme="minorEastAsia" w:hint="eastAsia"/>
          <w:sz w:val="21"/>
          <w:szCs w:val="21"/>
        </w:rPr>
        <w:t>家券商被采取暂停新开融资融券客户信用账户</w:t>
      </w:r>
      <w:r>
        <w:rPr>
          <w:rFonts w:asciiTheme="minorEastAsia" w:hAnsiTheme="minorEastAsia" w:hint="eastAsia"/>
          <w:sz w:val="21"/>
          <w:szCs w:val="21"/>
        </w:rPr>
        <w:t>3</w:t>
      </w:r>
      <w:r>
        <w:rPr>
          <w:rFonts w:asciiTheme="minorEastAsia" w:hAnsiTheme="minorEastAsia" w:hint="eastAsia"/>
          <w:sz w:val="21"/>
          <w:szCs w:val="21"/>
        </w:rPr>
        <w:t>个月的行政监管措施。此外，招商证券、广发证券、安信证券、中投证券、民生证券、广州证券、新时代证券、齐鲁证券、银河证券共</w:t>
      </w:r>
      <w:r>
        <w:rPr>
          <w:rFonts w:asciiTheme="minorEastAsia" w:hAnsiTheme="minorEastAsia" w:hint="eastAsia"/>
          <w:sz w:val="21"/>
          <w:szCs w:val="21"/>
        </w:rPr>
        <w:t>9</w:t>
      </w:r>
      <w:r>
        <w:rPr>
          <w:rFonts w:asciiTheme="minorEastAsia" w:hAnsiTheme="minorEastAsia" w:hint="eastAsia"/>
          <w:sz w:val="21"/>
          <w:szCs w:val="21"/>
        </w:rPr>
        <w:t>家券商也被点名。</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4</w:t>
      </w:r>
      <w:r>
        <w:rPr>
          <w:rFonts w:asciiTheme="minorEastAsia" w:hAnsiTheme="minorEastAsia" w:hint="eastAsia"/>
          <w:sz w:val="21"/>
          <w:szCs w:val="21"/>
        </w:rPr>
        <w:t>月</w:t>
      </w:r>
      <w:r>
        <w:rPr>
          <w:rFonts w:asciiTheme="minorEastAsia" w:hAnsiTheme="minorEastAsia" w:hint="eastAsia"/>
          <w:sz w:val="21"/>
          <w:szCs w:val="21"/>
        </w:rPr>
        <w:t>，因券商向不符合条件的客户开展两融业务、违规为客户融资活动提供便利等行为，长城证券、华泰证券、国信证券、五矿证券、华西证券、中金公司等根据事件严重情况被证监会采取不同监管措施。</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11</w:t>
      </w:r>
      <w:r>
        <w:rPr>
          <w:rFonts w:asciiTheme="minorEastAsia" w:hAnsiTheme="minorEastAsia" w:hint="eastAsia"/>
          <w:sz w:val="21"/>
          <w:szCs w:val="21"/>
        </w:rPr>
        <w:t>月</w:t>
      </w:r>
      <w:r>
        <w:rPr>
          <w:rFonts w:asciiTheme="minorEastAsia" w:hAnsiTheme="minorEastAsia" w:hint="eastAsia"/>
          <w:sz w:val="21"/>
          <w:szCs w:val="21"/>
        </w:rPr>
        <w:t>26</w:t>
      </w:r>
      <w:r>
        <w:rPr>
          <w:rFonts w:asciiTheme="minorEastAsia" w:hAnsiTheme="minorEastAsia" w:hint="eastAsia"/>
          <w:sz w:val="21"/>
          <w:szCs w:val="21"/>
        </w:rPr>
        <w:t>日，因涉嫌在融资融券业务的开展过程中违反《券商监督管理条例》，中信证券、国信证券、海通证券</w:t>
      </w:r>
      <w:r>
        <w:rPr>
          <w:rFonts w:asciiTheme="minorEastAsia" w:hAnsiTheme="minorEastAsia" w:hint="eastAsia"/>
          <w:sz w:val="21"/>
          <w:szCs w:val="21"/>
        </w:rPr>
        <w:t>3</w:t>
      </w:r>
      <w:r>
        <w:rPr>
          <w:rFonts w:asciiTheme="minorEastAsia" w:hAnsiTheme="minorEastAsia" w:hint="eastAsia"/>
          <w:sz w:val="21"/>
          <w:szCs w:val="21"/>
        </w:rPr>
        <w:t>家券商被证监会立案调查。</w:t>
      </w:r>
      <w:r>
        <w:rPr>
          <w:rFonts w:asciiTheme="minorEastAsia" w:hAnsiTheme="minorEastAsia" w:hint="eastAsia"/>
          <w:sz w:val="21"/>
          <w:szCs w:val="21"/>
        </w:rPr>
        <w:t xml:space="preserve"> </w:t>
      </w:r>
    </w:p>
    <w:p w:rsidR="00950AD5" w:rsidRDefault="006F3A42">
      <w:pPr>
        <w:ind w:firstLineChars="200" w:firstLine="420"/>
        <w:rPr>
          <w:rFonts w:asciiTheme="minorEastAsia" w:hAnsiTheme="minorEastAsia"/>
          <w:color w:val="FF0000"/>
          <w:sz w:val="21"/>
          <w:szCs w:val="21"/>
          <w:vertAlign w:val="superscript"/>
        </w:rPr>
      </w:pPr>
      <w:r>
        <w:rPr>
          <w:rFonts w:asciiTheme="minorEastAsia" w:hAnsiTheme="minorEastAsia" w:hint="eastAsia"/>
          <w:sz w:val="21"/>
          <w:szCs w:val="21"/>
        </w:rPr>
        <w:t>这些事件的背后反映的是券商的内部治理质量不高，治理结构不完善，缺乏有效的监管和对运作透明度的要求。</w:t>
      </w:r>
      <w:r>
        <w:rPr>
          <w:rFonts w:asciiTheme="minorEastAsia" w:hAnsiTheme="minorEastAsia"/>
          <w:sz w:val="21"/>
          <w:szCs w:val="21"/>
        </w:rPr>
        <w:t>券商在为客户融资的活动中存在着明显的违法违规行为，这不仅放大了投资者可能面对的由杠杆效应带来的</w:t>
      </w:r>
      <w:r>
        <w:rPr>
          <w:rFonts w:asciiTheme="minorEastAsia" w:hAnsiTheme="minorEastAsia"/>
          <w:sz w:val="21"/>
          <w:szCs w:val="21"/>
        </w:rPr>
        <w:t>债务比例风险、资金周转风险以及强制平仓导致的资本损失风险，使投资者面临更大的财务风险；同时也增加了</w:t>
      </w:r>
      <w:r>
        <w:rPr>
          <w:rFonts w:asciiTheme="minorEastAsia" w:hAnsiTheme="minorEastAsia" w:hint="eastAsia"/>
          <w:sz w:val="21"/>
          <w:szCs w:val="21"/>
        </w:rPr>
        <w:t>融资融券业务给券商带来的财</w:t>
      </w:r>
      <w:r>
        <w:rPr>
          <w:rFonts w:asciiTheme="minorEastAsia" w:hAnsiTheme="minorEastAsia" w:hint="eastAsia"/>
          <w:sz w:val="21"/>
          <w:szCs w:val="21"/>
        </w:rPr>
        <w:lastRenderedPageBreak/>
        <w:t>务风险，如违约风险和资金流动性风险等。当证券市场出现剧烈波动而投资者又不能及时追加保证金甚至被强行平仓时，券商将蒙受损失，影响其正常运营</w:t>
      </w:r>
      <w:r>
        <w:rPr>
          <w:rFonts w:asciiTheme="minorEastAsia" w:hAnsiTheme="minorEastAsia" w:hint="eastAsia"/>
          <w:sz w:val="21"/>
          <w:szCs w:val="21"/>
          <w:vertAlign w:val="superscript"/>
        </w:rPr>
        <w:t>[13]</w:t>
      </w:r>
      <w:r>
        <w:rPr>
          <w:rFonts w:asciiTheme="minorEastAsia" w:hAnsiTheme="minorEastAsia" w:hint="eastAsia"/>
          <w:sz w:val="21"/>
          <w:szCs w:val="21"/>
        </w:rPr>
        <w:t>。</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为确保公司健康稳定的发展，保持竞争力，券商应完善融资融券业务应有的内部治理机制和规范以及确保各项制度得以履行的落实机制，及时关注市场动态并调整业务的制度规范，完善制度、健全流程、明确责任，有效控制风险，避免违法违规事件的发生。进一步完善融资</w:t>
      </w:r>
      <w:r>
        <w:rPr>
          <w:rFonts w:asciiTheme="minorEastAsia" w:hAnsiTheme="minorEastAsia" w:hint="eastAsia"/>
          <w:sz w:val="21"/>
          <w:szCs w:val="21"/>
        </w:rPr>
        <w:t>融券业务准入的审核流程，严格审核客户信息的真实性，全面落实“了解你的客户”原则，根据自身净资本水平、客户状况和风险管理能力，适当控制经营杠杆，有效防范流动性风险，确保内部治理机制落实到实处。通过常规性的检查督促相关业务人员履行诚信义务，从组织制度和管理制度两个方面完善内部治理机制，进一步降低融资融券业务的风险水平。加快发展融券业务，将融资规模与融券规模的比例控制在合理的区间内，保证市场做空机制的有效运行，从而降低股市的剧烈波动。</w:t>
      </w:r>
    </w:p>
    <w:p w:rsidR="00950AD5" w:rsidRDefault="006F3A42">
      <w:pPr>
        <w:pStyle w:val="3"/>
        <w:spacing w:line="240" w:lineRule="auto"/>
        <w:rPr>
          <w:rFonts w:asciiTheme="minorEastAsia" w:hAnsiTheme="minorEastAsia"/>
          <w:b w:val="0"/>
          <w:sz w:val="21"/>
          <w:szCs w:val="21"/>
        </w:rPr>
      </w:pPr>
      <w:r>
        <w:rPr>
          <w:rFonts w:asciiTheme="minorEastAsia" w:hAnsiTheme="minorEastAsia" w:hint="eastAsia"/>
          <w:b w:val="0"/>
          <w:sz w:val="21"/>
          <w:szCs w:val="21"/>
        </w:rPr>
        <w:t>2</w:t>
      </w:r>
      <w:r>
        <w:rPr>
          <w:rFonts w:asciiTheme="minorEastAsia" w:hAnsiTheme="minorEastAsia" w:hint="eastAsia"/>
          <w:b w:val="0"/>
          <w:sz w:val="21"/>
          <w:szCs w:val="21"/>
        </w:rPr>
        <w:t>、</w:t>
      </w:r>
      <w:r>
        <w:rPr>
          <w:rFonts w:asciiTheme="minorEastAsia" w:hAnsiTheme="minorEastAsia" w:hint="eastAsia"/>
          <w:b w:val="0"/>
          <w:sz w:val="21"/>
          <w:szCs w:val="21"/>
        </w:rPr>
        <w:t xml:space="preserve"> </w:t>
      </w:r>
      <w:r>
        <w:rPr>
          <w:rFonts w:asciiTheme="minorEastAsia" w:hAnsiTheme="minorEastAsia" w:hint="eastAsia"/>
          <w:b w:val="0"/>
          <w:sz w:val="21"/>
          <w:szCs w:val="21"/>
        </w:rPr>
        <w:t>非法场外配资</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场外配资是指融资融券以外的，所谓的股票配资公司公开的借钱炒</w:t>
      </w:r>
      <w:r>
        <w:rPr>
          <w:rFonts w:asciiTheme="minorEastAsia" w:hAnsiTheme="minorEastAsia" w:hint="eastAsia"/>
          <w:sz w:val="21"/>
          <w:szCs w:val="21"/>
        </w:rPr>
        <w:t>股。</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由于场外配资机构涉嫌非法经营证券业务、非法出借账户从事证券交易并且在其具体经营活动中采取多种不法方式，场外配资被认为是会给资本市场和证券监管体制带来巨大危害的行为。</w:t>
      </w:r>
      <w:r>
        <w:rPr>
          <w:rFonts w:asciiTheme="minorEastAsia" w:hAnsiTheme="minorEastAsia" w:hint="eastAsia"/>
          <w:sz w:val="21"/>
          <w:szCs w:val="21"/>
        </w:rPr>
        <w:t>2015</w:t>
      </w:r>
      <w:r>
        <w:rPr>
          <w:rFonts w:asciiTheme="minorEastAsia" w:hAnsiTheme="minorEastAsia" w:hint="eastAsia"/>
          <w:sz w:val="21"/>
          <w:szCs w:val="21"/>
        </w:rPr>
        <w:t>年年中，证监会开始对场外配资严格控制，之后出台一系列规范性文件清理违法的场外配资活动。同时，以场外配资为代表的杠杆资金快速堆积和撤离也被认为是造成</w:t>
      </w:r>
      <w:r>
        <w:rPr>
          <w:rFonts w:asciiTheme="minorEastAsia" w:hAnsiTheme="minorEastAsia" w:hint="eastAsia"/>
          <w:sz w:val="21"/>
          <w:szCs w:val="21"/>
        </w:rPr>
        <w:t>2015</w:t>
      </w:r>
      <w:r>
        <w:rPr>
          <w:rFonts w:asciiTheme="minorEastAsia" w:hAnsiTheme="minorEastAsia" w:hint="eastAsia"/>
          <w:sz w:val="21"/>
          <w:szCs w:val="21"/>
        </w:rPr>
        <w:t>年中国股市的异常波动的重要因素之一。以下为</w:t>
      </w:r>
      <w:r>
        <w:rPr>
          <w:rFonts w:asciiTheme="minorEastAsia" w:hAnsiTheme="minorEastAsia" w:hint="eastAsia"/>
          <w:sz w:val="21"/>
          <w:szCs w:val="21"/>
        </w:rPr>
        <w:t>2015</w:t>
      </w:r>
      <w:r>
        <w:rPr>
          <w:rFonts w:asciiTheme="minorEastAsia" w:hAnsiTheme="minorEastAsia" w:hint="eastAsia"/>
          <w:sz w:val="21"/>
          <w:szCs w:val="21"/>
        </w:rPr>
        <w:t>年券商非法场外配资事件：</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8</w:t>
      </w:r>
      <w:r>
        <w:rPr>
          <w:rFonts w:asciiTheme="minorEastAsia" w:hAnsiTheme="minorEastAsia" w:hint="eastAsia"/>
          <w:sz w:val="21"/>
          <w:szCs w:val="21"/>
        </w:rPr>
        <w:t>月</w:t>
      </w:r>
      <w:r>
        <w:rPr>
          <w:rFonts w:asciiTheme="minorEastAsia" w:hAnsiTheme="minorEastAsia" w:hint="eastAsia"/>
          <w:sz w:val="21"/>
          <w:szCs w:val="21"/>
        </w:rPr>
        <w:t>25</w:t>
      </w:r>
      <w:r>
        <w:rPr>
          <w:rFonts w:asciiTheme="minorEastAsia" w:hAnsiTheme="minorEastAsia" w:hint="eastAsia"/>
          <w:sz w:val="21"/>
          <w:szCs w:val="21"/>
        </w:rPr>
        <w:t>日，因“涉嫌未按规定审查、了解客户身份等违法违规行为”，海通证券、广发证券、华泰证券、</w:t>
      </w:r>
      <w:r>
        <w:rPr>
          <w:rFonts w:asciiTheme="minorEastAsia" w:hAnsiTheme="minorEastAsia" w:hint="eastAsia"/>
          <w:sz w:val="21"/>
          <w:szCs w:val="21"/>
        </w:rPr>
        <w:t>方正证券</w:t>
      </w:r>
      <w:r>
        <w:rPr>
          <w:rFonts w:asciiTheme="minorEastAsia" w:hAnsiTheme="minorEastAsia" w:hint="eastAsia"/>
          <w:sz w:val="21"/>
          <w:szCs w:val="21"/>
        </w:rPr>
        <w:t>4</w:t>
      </w:r>
      <w:r>
        <w:rPr>
          <w:rFonts w:asciiTheme="minorEastAsia" w:hAnsiTheme="minorEastAsia" w:hint="eastAsia"/>
          <w:sz w:val="21"/>
          <w:szCs w:val="21"/>
        </w:rPr>
        <w:t>家券商，被证监会立案调查，调查均来自地方稽查机构，并最终处以总计</w:t>
      </w:r>
      <w:r>
        <w:rPr>
          <w:rFonts w:asciiTheme="minorEastAsia" w:hAnsiTheme="minorEastAsia" w:hint="eastAsia"/>
          <w:sz w:val="21"/>
          <w:szCs w:val="21"/>
        </w:rPr>
        <w:t>2.4</w:t>
      </w:r>
      <w:r>
        <w:rPr>
          <w:rFonts w:asciiTheme="minorEastAsia" w:hAnsiTheme="minorEastAsia" w:hint="eastAsia"/>
          <w:sz w:val="21"/>
          <w:szCs w:val="21"/>
        </w:rPr>
        <w:t>亿元的高额罚款，给予警告并责令改正。</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早在</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6</w:t>
      </w:r>
      <w:r>
        <w:rPr>
          <w:rFonts w:asciiTheme="minorEastAsia" w:hAnsiTheme="minorEastAsia" w:hint="eastAsia"/>
          <w:sz w:val="21"/>
          <w:szCs w:val="21"/>
        </w:rPr>
        <w:t>月份，证监会就发出《关于加强券商信息系统外部接入管理的通知》，要求券商对外部接入进行自查，各地证监局对自查情况进行核实，同时禁止券商为场外配资活动提供便利。然而</w:t>
      </w:r>
      <w:r>
        <w:rPr>
          <w:rFonts w:asciiTheme="minorEastAsia" w:hAnsiTheme="minorEastAsia" w:hint="eastAsia"/>
          <w:sz w:val="21"/>
          <w:szCs w:val="21"/>
        </w:rPr>
        <w:t>2</w:t>
      </w:r>
      <w:r>
        <w:rPr>
          <w:rFonts w:asciiTheme="minorEastAsia" w:hAnsiTheme="minorEastAsia" w:hint="eastAsia"/>
          <w:sz w:val="21"/>
          <w:szCs w:val="21"/>
        </w:rPr>
        <w:t>个月后，这</w:t>
      </w:r>
      <w:r>
        <w:rPr>
          <w:rFonts w:asciiTheme="minorEastAsia" w:hAnsiTheme="minorEastAsia" w:hint="eastAsia"/>
          <w:sz w:val="21"/>
          <w:szCs w:val="21"/>
        </w:rPr>
        <w:t>4</w:t>
      </w:r>
      <w:r>
        <w:rPr>
          <w:rFonts w:asciiTheme="minorEastAsia" w:hAnsiTheme="minorEastAsia" w:hint="eastAsia"/>
          <w:sz w:val="21"/>
          <w:szCs w:val="21"/>
        </w:rPr>
        <w:t>家券商因为未审核客户资质，不仅引入了高杠杆的场外配资，还有逃避监管的外部资金以及违法的账户体系。最终遭到巨额罚款。</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尽管场外配资经过清理之后已经逐渐消失在市场之中，但是通过这次事件可以看出我国部分券商的部</w:t>
      </w:r>
      <w:r>
        <w:rPr>
          <w:rFonts w:asciiTheme="minorEastAsia" w:hAnsiTheme="minorEastAsia" w:hint="eastAsia"/>
          <w:sz w:val="21"/>
          <w:szCs w:val="21"/>
        </w:rPr>
        <w:t>分业务的实际情况是与其内部治理背道而驰的，券商对于其外部接入系统的管理存在着极大的漏洞，对其日常的监管不到位，很可能造成重大信息安全事件。</w:t>
      </w:r>
    </w:p>
    <w:p w:rsidR="00950AD5" w:rsidRDefault="006F3A42">
      <w:pPr>
        <w:ind w:firstLineChars="200" w:firstLine="420"/>
        <w:rPr>
          <w:rFonts w:asciiTheme="minorEastAsia" w:hAnsiTheme="minorEastAsia"/>
          <w:color w:val="FF0000"/>
          <w:sz w:val="21"/>
          <w:szCs w:val="21"/>
        </w:rPr>
      </w:pPr>
      <w:r>
        <w:rPr>
          <w:rFonts w:asciiTheme="minorEastAsia" w:hAnsiTheme="minorEastAsia" w:hint="eastAsia"/>
          <w:sz w:val="21"/>
          <w:szCs w:val="21"/>
        </w:rPr>
        <w:t>因而就券商业务经营的合法合规性而言，其内部治理的完善健全至关重要。既要保证制度具有制衡性和约束性，使岗位与岗位之间既权责分明，又互相约束，从而消除内部治理机制存在的漏洞和盲点，避免再次出现明知故犯的违法违规事件；又要加强内部治理和处罚力度，完善内部治理的规章制度和违章条例，严惩抱着侥幸心理做违规事件的工作人员甚至是公司高管，避免为了追求利益而触碰法律的禁区。</w:t>
      </w:r>
    </w:p>
    <w:p w:rsidR="00950AD5" w:rsidRDefault="006F3A42">
      <w:pPr>
        <w:pStyle w:val="2"/>
        <w:spacing w:line="240" w:lineRule="auto"/>
        <w:rPr>
          <w:rFonts w:ascii="黑体" w:eastAsia="黑体" w:hAnsiTheme="minorEastAsia"/>
          <w:b w:val="0"/>
          <w:sz w:val="24"/>
          <w:szCs w:val="24"/>
        </w:rPr>
      </w:pPr>
      <w:r>
        <w:rPr>
          <w:rFonts w:ascii="黑体" w:eastAsia="黑体" w:hAnsiTheme="minorEastAsia" w:hint="eastAsia"/>
          <w:b w:val="0"/>
          <w:sz w:val="24"/>
          <w:szCs w:val="24"/>
        </w:rPr>
        <w:t>(</w:t>
      </w:r>
      <w:r>
        <w:rPr>
          <w:rFonts w:ascii="黑体" w:eastAsia="黑体" w:hAnsiTheme="minorEastAsia" w:hint="eastAsia"/>
          <w:b w:val="0"/>
          <w:sz w:val="24"/>
          <w:szCs w:val="24"/>
        </w:rPr>
        <w:t>二</w:t>
      </w:r>
      <w:r>
        <w:rPr>
          <w:rFonts w:ascii="黑体" w:eastAsia="黑体" w:hAnsiTheme="minorEastAsia" w:hint="eastAsia"/>
          <w:b w:val="0"/>
          <w:sz w:val="24"/>
          <w:szCs w:val="24"/>
        </w:rPr>
        <w:t xml:space="preserve">) </w:t>
      </w:r>
      <w:r>
        <w:rPr>
          <w:rFonts w:ascii="黑体" w:eastAsia="黑体" w:hAnsiTheme="minorEastAsia" w:hint="eastAsia"/>
          <w:b w:val="0"/>
          <w:sz w:val="24"/>
          <w:szCs w:val="24"/>
        </w:rPr>
        <w:t>高</w:t>
      </w:r>
      <w:r>
        <w:rPr>
          <w:rFonts w:ascii="黑体" w:eastAsia="黑体" w:hAnsiTheme="minorEastAsia" w:hint="eastAsia"/>
          <w:b w:val="0"/>
          <w:sz w:val="24"/>
          <w:szCs w:val="24"/>
        </w:rPr>
        <w:t>管违规问题的分析</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公司内部治理的作用主要是通过董事会、监事会和股东自己来实现的</w:t>
      </w:r>
      <w:r>
        <w:rPr>
          <w:rFonts w:asciiTheme="minorEastAsia" w:hAnsiTheme="minorEastAsia" w:hint="eastAsia"/>
          <w:sz w:val="21"/>
          <w:szCs w:val="21"/>
          <w:vertAlign w:val="superscript"/>
        </w:rPr>
        <w:t>[14]</w:t>
      </w:r>
      <w:r>
        <w:rPr>
          <w:rFonts w:asciiTheme="minorEastAsia" w:hAnsiTheme="minorEastAsia" w:hint="eastAsia"/>
          <w:sz w:val="21"/>
          <w:szCs w:val="21"/>
        </w:rPr>
        <w:t>，注重公司股东大会、董事会、监事会和高层经营者之间的制衡关系。然而大多数券商的决策部门和经营部门都存在权责不分明的问题，无法做到相互牵制和制衡，造成券商的内部治理机制存在缺陷。</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伴随着券商违规事件的不断发生以及证监会监管的日趋严格，多家券商的高管也状况频</w:t>
      </w:r>
      <w:r>
        <w:rPr>
          <w:rFonts w:asciiTheme="minorEastAsia" w:hAnsiTheme="minorEastAsia" w:hint="eastAsia"/>
          <w:sz w:val="21"/>
          <w:szCs w:val="21"/>
        </w:rPr>
        <w:lastRenderedPageBreak/>
        <w:t>发。</w:t>
      </w:r>
      <w:r>
        <w:rPr>
          <w:rFonts w:asciiTheme="minorEastAsia" w:hAnsiTheme="minorEastAsia" w:hint="eastAsia"/>
          <w:sz w:val="21"/>
          <w:szCs w:val="21"/>
        </w:rPr>
        <w:t>2015</w:t>
      </w:r>
      <w:r>
        <w:rPr>
          <w:rFonts w:asciiTheme="minorEastAsia" w:hAnsiTheme="minorEastAsia" w:hint="eastAsia"/>
          <w:sz w:val="21"/>
          <w:szCs w:val="21"/>
        </w:rPr>
        <w:t>年，券商的高管中，已有</w:t>
      </w:r>
      <w:r>
        <w:rPr>
          <w:rFonts w:asciiTheme="minorEastAsia" w:hAnsiTheme="minorEastAsia" w:hint="eastAsia"/>
          <w:sz w:val="21"/>
          <w:szCs w:val="21"/>
        </w:rPr>
        <w:t>13</w:t>
      </w:r>
      <w:r>
        <w:rPr>
          <w:rFonts w:asciiTheme="minorEastAsia" w:hAnsiTheme="minorEastAsia" w:hint="eastAsia"/>
          <w:sz w:val="21"/>
          <w:szCs w:val="21"/>
        </w:rPr>
        <w:t>人确认被相关机构带走调查，</w:t>
      </w:r>
      <w:r>
        <w:rPr>
          <w:rFonts w:asciiTheme="minorEastAsia" w:hAnsiTheme="minorEastAsia" w:hint="eastAsia"/>
          <w:sz w:val="21"/>
          <w:szCs w:val="21"/>
        </w:rPr>
        <w:t>6</w:t>
      </w:r>
      <w:r>
        <w:rPr>
          <w:rFonts w:asciiTheme="minorEastAsia" w:hAnsiTheme="minorEastAsia" w:hint="eastAsia"/>
          <w:sz w:val="21"/>
          <w:szCs w:val="21"/>
        </w:rPr>
        <w:t>人失联，</w:t>
      </w:r>
      <w:r>
        <w:rPr>
          <w:rFonts w:asciiTheme="minorEastAsia" w:hAnsiTheme="minorEastAsia" w:hint="eastAsia"/>
          <w:sz w:val="21"/>
          <w:szCs w:val="21"/>
        </w:rPr>
        <w:t>1</w:t>
      </w:r>
      <w:r>
        <w:rPr>
          <w:rFonts w:asciiTheme="minorEastAsia" w:hAnsiTheme="minorEastAsia" w:hint="eastAsia"/>
          <w:sz w:val="21"/>
          <w:szCs w:val="21"/>
        </w:rPr>
        <w:t>人自杀，</w:t>
      </w:r>
      <w:r>
        <w:rPr>
          <w:rFonts w:asciiTheme="minorEastAsia" w:hAnsiTheme="minorEastAsia" w:hint="eastAsia"/>
          <w:sz w:val="21"/>
          <w:szCs w:val="21"/>
        </w:rPr>
        <w:t>1</w:t>
      </w:r>
      <w:r>
        <w:rPr>
          <w:rFonts w:asciiTheme="minorEastAsia" w:hAnsiTheme="minorEastAsia" w:hint="eastAsia"/>
          <w:sz w:val="21"/>
          <w:szCs w:val="21"/>
        </w:rPr>
        <w:t>人被撤职。</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其中，以实力最为雄厚的中信证券人事变动最为剧烈</w:t>
      </w:r>
      <w:r>
        <w:rPr>
          <w:rFonts w:asciiTheme="minorEastAsia" w:hAnsiTheme="minorEastAsia" w:hint="eastAsia"/>
          <w:sz w:val="21"/>
          <w:szCs w:val="21"/>
        </w:rPr>
        <w:t>:13</w:t>
      </w:r>
      <w:r>
        <w:rPr>
          <w:rFonts w:asciiTheme="minorEastAsia" w:hAnsiTheme="minorEastAsia" w:hint="eastAsia"/>
          <w:sz w:val="21"/>
          <w:szCs w:val="21"/>
        </w:rPr>
        <w:t>位中信证券的高管被调查</w:t>
      </w:r>
      <w:r>
        <w:rPr>
          <w:rFonts w:asciiTheme="minorEastAsia" w:hAnsiTheme="minorEastAsia" w:hint="eastAsia"/>
          <w:sz w:val="21"/>
          <w:szCs w:val="21"/>
        </w:rPr>
        <w:t>或被要求协助调查，而作为中信证券内部最高经营管理机构的中信证券执行委员会，</w:t>
      </w:r>
      <w:r>
        <w:rPr>
          <w:rFonts w:asciiTheme="minorEastAsia" w:hAnsiTheme="minorEastAsia" w:hint="eastAsia"/>
          <w:sz w:val="21"/>
          <w:szCs w:val="21"/>
        </w:rPr>
        <w:t>8</w:t>
      </w:r>
      <w:r>
        <w:rPr>
          <w:rFonts w:asciiTheme="minorEastAsia" w:hAnsiTheme="minorEastAsia" w:hint="eastAsia"/>
          <w:sz w:val="21"/>
          <w:szCs w:val="21"/>
        </w:rPr>
        <w:t>名执委会成员中，董事长王东明退休，</w:t>
      </w:r>
      <w:r>
        <w:rPr>
          <w:rFonts w:asciiTheme="minorEastAsia" w:hAnsiTheme="minorEastAsia" w:hint="eastAsia"/>
          <w:sz w:val="21"/>
          <w:szCs w:val="21"/>
        </w:rPr>
        <w:t>6</w:t>
      </w:r>
      <w:r>
        <w:rPr>
          <w:rFonts w:asciiTheme="minorEastAsia" w:hAnsiTheme="minorEastAsia" w:hint="eastAsia"/>
          <w:sz w:val="21"/>
          <w:szCs w:val="21"/>
        </w:rPr>
        <w:t>人涉案。</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从这可以看出，券商的内部治理机制存在弱化的现象，同一家券商多名高管涉案表明高管之间本身就存在问题，不是相互牵制的关系，反而同流合污；此外，董事会、监事会以及高管之间相互制衡、约束的能力差，特别是监事会和独立董事，其作用非常有限，高管明显的违法违规问题却没有相应地约束机制，造成了严重的“内部人”控制问题。</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针对券商的高管，一方面要进一步完善公司治理内部结构，完善经理人的选拔和激励机制，增强人员考核的透明度，加强监事会、独立董事的监督作用，使董事会、监事会以及管理层相互制衡、约束；另一方面培育和发展经理人市场，推进经理的职业化，将选择经理人的权利交给市场和券商，进一步减轻“内部人控制”问题的发生，培养更多有真才实学，具有良好金融背景和经历的高级人才。</w:t>
      </w:r>
    </w:p>
    <w:p w:rsidR="00950AD5" w:rsidRDefault="006F3A42">
      <w:pPr>
        <w:pStyle w:val="1"/>
        <w:spacing w:line="240" w:lineRule="auto"/>
        <w:rPr>
          <w:rFonts w:ascii="黑体" w:hAnsiTheme="minorEastAsia"/>
          <w:b w:val="0"/>
          <w:szCs w:val="28"/>
        </w:rPr>
      </w:pPr>
      <w:r>
        <w:rPr>
          <w:rFonts w:ascii="黑体" w:hAnsiTheme="minorEastAsia" w:hint="eastAsia"/>
          <w:b w:val="0"/>
          <w:szCs w:val="28"/>
        </w:rPr>
        <w:t>五</w:t>
      </w:r>
      <w:r>
        <w:rPr>
          <w:rFonts w:ascii="黑体" w:hAnsiTheme="minorEastAsia" w:hint="eastAsia"/>
          <w:b w:val="0"/>
          <w:szCs w:val="28"/>
        </w:rPr>
        <w:t xml:space="preserve"> </w:t>
      </w:r>
      <w:r>
        <w:rPr>
          <w:rFonts w:ascii="黑体" w:hAnsiTheme="minorEastAsia" w:hint="eastAsia"/>
          <w:b w:val="0"/>
          <w:szCs w:val="28"/>
        </w:rPr>
        <w:t>券商外部治理分析</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外部治理作为内部治理的补充，注重的是公司内部人与公司以及外部机制的协调、配合和制衡，迫使其经营行为受到外界约束，迫使公司管理层自律和自我控制。因此，针对券商的外部治理问题，本节既提出了整合治理的建议，强调股市其他参与主体对于券商外部治理发挥的重要作用，同时基于</w:t>
      </w:r>
      <w:r>
        <w:rPr>
          <w:rFonts w:asciiTheme="minorEastAsia" w:hAnsiTheme="minorEastAsia" w:hint="eastAsia"/>
          <w:sz w:val="21"/>
          <w:szCs w:val="21"/>
        </w:rPr>
        <w:t>2015</w:t>
      </w:r>
      <w:r>
        <w:rPr>
          <w:rFonts w:asciiTheme="minorEastAsia" w:hAnsiTheme="minorEastAsia" w:hint="eastAsia"/>
          <w:sz w:val="21"/>
          <w:szCs w:val="21"/>
        </w:rPr>
        <w:t>年券商违规事件分析信息披露等外部治理因素存在的问题，提议将券商的证券分析和研究报告功能从其中独立出来，成立第三方的咨询机构。</w:t>
      </w:r>
    </w:p>
    <w:p w:rsidR="00950AD5" w:rsidRDefault="006F3A42">
      <w:pPr>
        <w:pStyle w:val="2"/>
        <w:spacing w:line="240" w:lineRule="auto"/>
        <w:rPr>
          <w:rFonts w:ascii="黑体" w:eastAsia="黑体" w:hAnsiTheme="minorEastAsia"/>
          <w:b w:val="0"/>
          <w:sz w:val="24"/>
          <w:szCs w:val="24"/>
        </w:rPr>
      </w:pPr>
      <w:r>
        <w:rPr>
          <w:rFonts w:ascii="黑体" w:eastAsia="黑体" w:hAnsiTheme="minorEastAsia" w:hint="eastAsia"/>
          <w:b w:val="0"/>
          <w:sz w:val="24"/>
          <w:szCs w:val="24"/>
        </w:rPr>
        <w:t>(</w:t>
      </w:r>
      <w:r>
        <w:rPr>
          <w:rFonts w:ascii="黑体" w:eastAsia="黑体" w:hAnsiTheme="minorEastAsia" w:hint="eastAsia"/>
          <w:b w:val="0"/>
          <w:sz w:val="24"/>
          <w:szCs w:val="24"/>
        </w:rPr>
        <w:t>一</w:t>
      </w:r>
      <w:r>
        <w:rPr>
          <w:rFonts w:ascii="黑体" w:eastAsia="黑体" w:hAnsiTheme="minorEastAsia" w:hint="eastAsia"/>
          <w:b w:val="0"/>
          <w:sz w:val="24"/>
          <w:szCs w:val="24"/>
        </w:rPr>
        <w:t xml:space="preserve">) </w:t>
      </w:r>
      <w:r>
        <w:rPr>
          <w:rFonts w:ascii="黑体" w:eastAsia="黑体" w:hAnsiTheme="minorEastAsia" w:hint="eastAsia"/>
          <w:b w:val="0"/>
          <w:sz w:val="24"/>
          <w:szCs w:val="24"/>
        </w:rPr>
        <w:t>股市整合治理的提出</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十八届五中全会立足十三五发展环境的特征提出发展的五大理念，这需要金融市场的发展以促进经济的</w:t>
      </w:r>
      <w:r>
        <w:rPr>
          <w:rFonts w:asciiTheme="minorEastAsia" w:hAnsiTheme="minorEastAsia" w:hint="eastAsia"/>
          <w:sz w:val="21"/>
          <w:szCs w:val="21"/>
        </w:rPr>
        <w:t>发展。但股市的参与主体近期发生重大违规事件，证监会高官被调查、主要券商涉及违规操作、多家公募基金内幕交易、主要私募非法交易，这暴露出股市整体的治理存在重大问题，股市治理已经到刻不容缓的地步。</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但十三五下关于股市参与主体的治理研究很不完善。对券商与公募基金的治理问题仅从内部治理加以考虑；险资的高负债性及保险风险的集中性、私募的信息披露低，使对它们在股市的治理研究不全面。而且，现有研究都是孤立地研究参与主体，没有上升到整合治理的高度。</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因而本文在十三五、金融改革背景下，提出了建立股市参与主体的整合治理的分析框架</w:t>
      </w:r>
      <w:r>
        <w:rPr>
          <w:rFonts w:asciiTheme="minorEastAsia" w:hAnsiTheme="minorEastAsia" w:hint="eastAsia"/>
          <w:sz w:val="21"/>
          <w:szCs w:val="21"/>
        </w:rPr>
        <w:t>与治理机制，使参与主体形成一个有效治理、相互促进的系统，互相约束，保证中国股市有条不紊、健康稳定的发展，成为推动经济增长的重要支撑和保证。</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为达到整合治理的目的，证监会应有效监管市场，服务国家治理战略，为参与主体创造公平环境；券商则系统地使用市场分析技术服务公募基金、险资等；公募基金与险资可采用投资组合管理工具，与券商相辅相成，稳定市场，科学引导散户；私募则服务国家创新战略，和公募基金等推动多层次市场发展，这不仅从证监会、公募基金、险资等角度进一步完善了券商的外部治理机制，保证券商在外部市场主体的约束下进一</w:t>
      </w:r>
      <w:r>
        <w:rPr>
          <w:rFonts w:asciiTheme="minorEastAsia" w:hAnsiTheme="minorEastAsia" w:hint="eastAsia"/>
          <w:sz w:val="21"/>
          <w:szCs w:val="21"/>
        </w:rPr>
        <w:t>步完善其内部治理机制以</w:t>
      </w:r>
      <w:r>
        <w:rPr>
          <w:rFonts w:asciiTheme="minorEastAsia" w:hAnsiTheme="minorEastAsia" w:hint="eastAsia"/>
          <w:sz w:val="21"/>
          <w:szCs w:val="21"/>
        </w:rPr>
        <w:lastRenderedPageBreak/>
        <w:t>保持自身的市场竞争力；同时响应了习总书记对股市的战略定位，从战略性和全局性提升了股市的治理水平。</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由于篇幅所限，本文以下所述仍然基于券商的外部治理问题来分析，包括券商的信息披露问题以及研报分析问题两个方面。</w:t>
      </w:r>
    </w:p>
    <w:p w:rsidR="00950AD5" w:rsidRDefault="006F3A42">
      <w:pPr>
        <w:pStyle w:val="2"/>
        <w:spacing w:line="240" w:lineRule="auto"/>
        <w:rPr>
          <w:rFonts w:ascii="黑体" w:eastAsia="黑体" w:hAnsiTheme="minorEastAsia"/>
          <w:b w:val="0"/>
          <w:sz w:val="24"/>
          <w:szCs w:val="24"/>
        </w:rPr>
      </w:pPr>
      <w:r>
        <w:rPr>
          <w:rFonts w:ascii="黑体" w:eastAsia="黑体" w:hAnsiTheme="minorEastAsia" w:hint="eastAsia"/>
          <w:b w:val="0"/>
          <w:sz w:val="24"/>
          <w:szCs w:val="24"/>
        </w:rPr>
        <w:t>(</w:t>
      </w:r>
      <w:r>
        <w:rPr>
          <w:rFonts w:ascii="黑体" w:eastAsia="黑体" w:hAnsiTheme="minorEastAsia" w:hint="eastAsia"/>
          <w:b w:val="0"/>
          <w:sz w:val="24"/>
          <w:szCs w:val="24"/>
        </w:rPr>
        <w:t>二</w:t>
      </w:r>
      <w:r>
        <w:rPr>
          <w:rFonts w:ascii="黑体" w:eastAsia="黑体" w:hAnsiTheme="minorEastAsia" w:hint="eastAsia"/>
          <w:b w:val="0"/>
          <w:sz w:val="24"/>
          <w:szCs w:val="24"/>
        </w:rPr>
        <w:t xml:space="preserve">) </w:t>
      </w:r>
      <w:r>
        <w:rPr>
          <w:rFonts w:ascii="黑体" w:eastAsia="黑体" w:hAnsiTheme="minorEastAsia" w:hint="eastAsia"/>
          <w:b w:val="0"/>
          <w:sz w:val="24"/>
          <w:szCs w:val="24"/>
        </w:rPr>
        <w:t>信息披露问题的分析</w:t>
      </w:r>
    </w:p>
    <w:p w:rsidR="00950AD5" w:rsidRDefault="006F3A42">
      <w:pPr>
        <w:rPr>
          <w:rFonts w:asciiTheme="minorEastAsia" w:hAnsiTheme="minorEastAsia"/>
          <w:sz w:val="21"/>
          <w:szCs w:val="21"/>
        </w:rPr>
      </w:pPr>
      <w:r>
        <w:rPr>
          <w:rFonts w:asciiTheme="minorEastAsia" w:hAnsiTheme="minorEastAsia" w:hint="eastAsia"/>
          <w:sz w:val="21"/>
          <w:szCs w:val="21"/>
        </w:rPr>
        <w:t xml:space="preserve">    </w:t>
      </w:r>
      <w:r>
        <w:rPr>
          <w:rFonts w:asciiTheme="minorEastAsia" w:hAnsiTheme="minorEastAsia" w:hint="eastAsia"/>
          <w:sz w:val="21"/>
          <w:szCs w:val="21"/>
        </w:rPr>
        <w:t>有效的信息披露不能只依靠公司内部治理机制的作用，还要通过外部治理机制，如法律法规、媒体监督</w:t>
      </w:r>
      <w:r>
        <w:rPr>
          <w:rFonts w:asciiTheme="minorEastAsia" w:hAnsiTheme="minorEastAsia" w:hint="eastAsia"/>
          <w:sz w:val="21"/>
          <w:szCs w:val="21"/>
          <w:vertAlign w:val="superscript"/>
        </w:rPr>
        <w:t>[15]</w:t>
      </w:r>
      <w:r>
        <w:rPr>
          <w:rFonts w:asciiTheme="minorEastAsia" w:hAnsiTheme="minorEastAsia" w:hint="eastAsia"/>
          <w:sz w:val="21"/>
          <w:szCs w:val="21"/>
        </w:rPr>
        <w:t>等的完善进行监控，以迫使公司管理层注重对信息披露的要求</w:t>
      </w:r>
      <w:r>
        <w:rPr>
          <w:rFonts w:asciiTheme="minorEastAsia" w:hAnsiTheme="minorEastAsia" w:hint="eastAsia"/>
          <w:sz w:val="21"/>
          <w:szCs w:val="21"/>
          <w:vertAlign w:val="superscript"/>
        </w:rPr>
        <w:t>[16]</w:t>
      </w:r>
      <w:r>
        <w:rPr>
          <w:rFonts w:asciiTheme="minorEastAsia" w:hAnsiTheme="minorEastAsia" w:hint="eastAsia"/>
          <w:sz w:val="21"/>
          <w:szCs w:val="21"/>
        </w:rPr>
        <w:t>。此外，有效的信息披露机制是建立一个强大的证券市场的基础和保障。这不仅有利于减少因为信</w:t>
      </w:r>
      <w:r>
        <w:rPr>
          <w:rFonts w:asciiTheme="minorEastAsia" w:hAnsiTheme="minorEastAsia" w:hint="eastAsia"/>
          <w:sz w:val="21"/>
          <w:szCs w:val="21"/>
        </w:rPr>
        <w:t>息不对称而给投资者带来的风险，还可以强化上市公司的外部监督和市场竞争压力，促使上市公司进一步完善公司治理机制，进而形成良性循环。然而，券商在信息披露的过程中仍存在问题。以下为</w:t>
      </w:r>
      <w:r>
        <w:rPr>
          <w:rFonts w:asciiTheme="minorEastAsia" w:hAnsiTheme="minorEastAsia" w:hint="eastAsia"/>
          <w:sz w:val="21"/>
          <w:szCs w:val="21"/>
        </w:rPr>
        <w:t>2015</w:t>
      </w:r>
      <w:r>
        <w:rPr>
          <w:rFonts w:asciiTheme="minorEastAsia" w:hAnsiTheme="minorEastAsia" w:hint="eastAsia"/>
          <w:sz w:val="21"/>
          <w:szCs w:val="21"/>
        </w:rPr>
        <w:t>年券商信息披露违规事件：</w:t>
      </w:r>
    </w:p>
    <w:p w:rsidR="00950AD5" w:rsidRDefault="006F3A42">
      <w:pPr>
        <w:rPr>
          <w:rFonts w:asciiTheme="minorEastAsia" w:hAnsiTheme="minorEastAsia"/>
          <w:sz w:val="21"/>
          <w:szCs w:val="21"/>
        </w:rPr>
      </w:pPr>
      <w:r>
        <w:rPr>
          <w:rFonts w:asciiTheme="minorEastAsia" w:hAnsiTheme="minorEastAsia" w:hint="eastAsia"/>
          <w:sz w:val="21"/>
          <w:szCs w:val="21"/>
        </w:rPr>
        <w:t xml:space="preserve">    </w:t>
      </w:r>
      <w:r>
        <w:rPr>
          <w:rFonts w:asciiTheme="minorEastAsia" w:hAnsiTheme="minorEastAsia" w:hint="eastAsia"/>
          <w:sz w:val="21"/>
          <w:szCs w:val="21"/>
        </w:rPr>
        <w:t>•</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5</w:t>
      </w:r>
      <w:r>
        <w:rPr>
          <w:rFonts w:asciiTheme="minorEastAsia" w:hAnsiTheme="minorEastAsia" w:hint="eastAsia"/>
          <w:sz w:val="21"/>
          <w:szCs w:val="21"/>
        </w:rPr>
        <w:t>月</w:t>
      </w:r>
      <w:r>
        <w:rPr>
          <w:rFonts w:asciiTheme="minorEastAsia" w:hAnsiTheme="minorEastAsia" w:hint="eastAsia"/>
          <w:sz w:val="21"/>
          <w:szCs w:val="21"/>
        </w:rPr>
        <w:t>29</w:t>
      </w:r>
      <w:r>
        <w:rPr>
          <w:rFonts w:asciiTheme="minorEastAsia" w:hAnsiTheme="minorEastAsia" w:hint="eastAsia"/>
          <w:sz w:val="21"/>
          <w:szCs w:val="21"/>
        </w:rPr>
        <w:t>日，因券商信息系统发生系统中断或缓慢，招商证券、东兴证券、齐鲁证券、国泰证券</w:t>
      </w:r>
      <w:r>
        <w:rPr>
          <w:rFonts w:asciiTheme="minorEastAsia" w:hAnsiTheme="minorEastAsia" w:hint="eastAsia"/>
          <w:sz w:val="21"/>
          <w:szCs w:val="21"/>
        </w:rPr>
        <w:t>4</w:t>
      </w:r>
      <w:r>
        <w:rPr>
          <w:rFonts w:asciiTheme="minorEastAsia" w:hAnsiTheme="minorEastAsia" w:hint="eastAsia"/>
          <w:sz w:val="21"/>
          <w:szCs w:val="21"/>
        </w:rPr>
        <w:t>家券商根据其事态严重情况被证监会采取不同程度的监管措施。</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11</w:t>
      </w:r>
      <w:r>
        <w:rPr>
          <w:rFonts w:asciiTheme="minorEastAsia" w:hAnsiTheme="minorEastAsia" w:hint="eastAsia"/>
          <w:sz w:val="21"/>
          <w:szCs w:val="21"/>
        </w:rPr>
        <w:t>月</w:t>
      </w:r>
      <w:r>
        <w:rPr>
          <w:rFonts w:asciiTheme="minorEastAsia" w:hAnsiTheme="minorEastAsia" w:hint="eastAsia"/>
          <w:sz w:val="21"/>
          <w:szCs w:val="21"/>
        </w:rPr>
        <w:t>6</w:t>
      </w:r>
      <w:r>
        <w:rPr>
          <w:rFonts w:asciiTheme="minorEastAsia" w:hAnsiTheme="minorEastAsia" w:hint="eastAsia"/>
          <w:sz w:val="21"/>
          <w:szCs w:val="21"/>
        </w:rPr>
        <w:t>日，因券商在落实《关于加强证券公司信息系统外部接入管理的通知》和《关于清理整顿违法从事证券业务活动的意见》不认真、不深入</w:t>
      </w:r>
      <w:r>
        <w:rPr>
          <w:rFonts w:asciiTheme="minorEastAsia" w:hAnsiTheme="minorEastAsia" w:hint="eastAsia"/>
          <w:sz w:val="21"/>
          <w:szCs w:val="21"/>
        </w:rPr>
        <w:t>，存在在前期自查过程中向证监会会漏报信息系统外部接入账户的情形，中信建投证券、银河证券、申万宏源证券被采取暂停新开证券账户</w:t>
      </w:r>
      <w:r>
        <w:rPr>
          <w:rFonts w:asciiTheme="minorEastAsia" w:hAnsiTheme="minorEastAsia" w:hint="eastAsia"/>
          <w:sz w:val="21"/>
          <w:szCs w:val="21"/>
        </w:rPr>
        <w:t>1</w:t>
      </w:r>
      <w:r>
        <w:rPr>
          <w:rFonts w:asciiTheme="minorEastAsia" w:hAnsiTheme="minorEastAsia" w:hint="eastAsia"/>
          <w:sz w:val="21"/>
          <w:szCs w:val="21"/>
        </w:rPr>
        <w:t>个月的监管措施。</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这不仅反映了券商在信息披露的过程中是有选择性的，信息披露不真实、不准确，而且表明了券商的信息系统建设以及技术管理水平仍存在一定的漏洞，有可能造成技术风险和信息泄露，给投资者带来损失；也反映出当前上市公司信息披露制度的不完善，监管不到位。</w:t>
      </w:r>
    </w:p>
    <w:p w:rsidR="00950AD5" w:rsidRDefault="006F3A42">
      <w:pPr>
        <w:ind w:firstLine="420"/>
        <w:rPr>
          <w:rFonts w:asciiTheme="minorEastAsia" w:hAnsiTheme="minorEastAsia"/>
          <w:sz w:val="21"/>
          <w:szCs w:val="21"/>
        </w:rPr>
      </w:pPr>
      <w:r>
        <w:rPr>
          <w:rFonts w:asciiTheme="minorEastAsia" w:hAnsiTheme="minorEastAsia" w:hint="eastAsia"/>
          <w:sz w:val="21"/>
          <w:szCs w:val="21"/>
        </w:rPr>
        <w:t>信息披露不仅需要券商加强内部规范，通过明确的规章制度保证信息披露的完整性、真实性、及时性和准确性，同时还要确保信息披露制度的全面、具</w:t>
      </w:r>
      <w:r>
        <w:rPr>
          <w:rFonts w:asciiTheme="minorEastAsia" w:hAnsiTheme="minorEastAsia" w:hint="eastAsia"/>
          <w:sz w:val="21"/>
          <w:szCs w:val="21"/>
        </w:rPr>
        <w:t>体，进一步明确信息披露的具体范围、问责制度，通过媒体披露、电子信箱等方式强化对券商经营治理的规范。</w:t>
      </w:r>
    </w:p>
    <w:p w:rsidR="00950AD5" w:rsidRDefault="006F3A42">
      <w:pPr>
        <w:pStyle w:val="2"/>
        <w:spacing w:line="240" w:lineRule="auto"/>
        <w:rPr>
          <w:rFonts w:ascii="黑体" w:eastAsia="黑体" w:hAnsiTheme="minorEastAsia"/>
          <w:b w:val="0"/>
          <w:sz w:val="24"/>
          <w:szCs w:val="24"/>
        </w:rPr>
      </w:pPr>
      <w:r>
        <w:rPr>
          <w:rFonts w:ascii="黑体" w:eastAsia="黑体" w:hAnsiTheme="minorEastAsia" w:hint="eastAsia"/>
          <w:b w:val="0"/>
          <w:sz w:val="24"/>
          <w:szCs w:val="24"/>
        </w:rPr>
        <w:t>(</w:t>
      </w:r>
      <w:r>
        <w:rPr>
          <w:rFonts w:ascii="黑体" w:eastAsia="黑体" w:hAnsiTheme="minorEastAsia" w:hint="eastAsia"/>
          <w:b w:val="0"/>
          <w:sz w:val="24"/>
          <w:szCs w:val="24"/>
        </w:rPr>
        <w:t>三</w:t>
      </w:r>
      <w:r>
        <w:rPr>
          <w:rFonts w:ascii="黑体" w:eastAsia="黑体" w:hAnsiTheme="minorEastAsia" w:hint="eastAsia"/>
          <w:b w:val="0"/>
          <w:sz w:val="24"/>
          <w:szCs w:val="24"/>
        </w:rPr>
        <w:t xml:space="preserve">) </w:t>
      </w:r>
      <w:r>
        <w:rPr>
          <w:rFonts w:ascii="黑体" w:eastAsia="黑体" w:hAnsiTheme="minorEastAsia" w:hint="eastAsia"/>
          <w:b w:val="0"/>
          <w:sz w:val="24"/>
          <w:szCs w:val="24"/>
        </w:rPr>
        <w:t>券商研报问题的分析</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券商的研究报告作为投资者投资决策的重要参考因素之一，因在市场中扮演着重要的角色</w:t>
      </w:r>
      <w:r>
        <w:rPr>
          <w:rFonts w:asciiTheme="minorEastAsia" w:hAnsiTheme="minorEastAsia" w:hint="eastAsia"/>
          <w:sz w:val="21"/>
          <w:szCs w:val="21"/>
          <w:vertAlign w:val="superscript"/>
        </w:rPr>
        <w:t>[17]</w:t>
      </w:r>
      <w:r>
        <w:rPr>
          <w:rFonts w:asciiTheme="minorEastAsia" w:hAnsiTheme="minorEastAsia" w:hint="eastAsia"/>
          <w:sz w:val="21"/>
          <w:szCs w:val="21"/>
        </w:rPr>
        <w:t>而备受关注。然而在预测</w:t>
      </w:r>
      <w:r>
        <w:rPr>
          <w:rFonts w:asciiTheme="minorEastAsia" w:hAnsiTheme="minorEastAsia" w:hint="eastAsia"/>
          <w:sz w:val="21"/>
          <w:szCs w:val="21"/>
        </w:rPr>
        <w:t>2015</w:t>
      </w:r>
      <w:r>
        <w:rPr>
          <w:rFonts w:asciiTheme="minorEastAsia" w:hAnsiTheme="minorEastAsia" w:hint="eastAsia"/>
          <w:sz w:val="21"/>
          <w:szCs w:val="21"/>
        </w:rPr>
        <w:t>年沪指区间时，券商分析师给出的市场建议大多与实际情况大相径庭。例如，国信证券、国盛证券、中航证券等多家券商曾对中国的股市作出相当高的预期，认为</w:t>
      </w:r>
      <w:r>
        <w:rPr>
          <w:rFonts w:asciiTheme="minorEastAsia" w:hAnsiTheme="minorEastAsia" w:hint="eastAsia"/>
          <w:sz w:val="21"/>
          <w:szCs w:val="21"/>
        </w:rPr>
        <w:t>2015</w:t>
      </w:r>
      <w:r>
        <w:rPr>
          <w:rFonts w:asciiTheme="minorEastAsia" w:hAnsiTheme="minorEastAsia" w:hint="eastAsia"/>
          <w:sz w:val="21"/>
          <w:szCs w:val="21"/>
        </w:rPr>
        <w:t>年上证指数将超过</w:t>
      </w:r>
      <w:r>
        <w:rPr>
          <w:rFonts w:asciiTheme="minorEastAsia" w:hAnsiTheme="minorEastAsia" w:hint="eastAsia"/>
          <w:sz w:val="21"/>
          <w:szCs w:val="21"/>
        </w:rPr>
        <w:t>2007</w:t>
      </w:r>
      <w:r>
        <w:rPr>
          <w:rFonts w:asciiTheme="minorEastAsia" w:hAnsiTheme="minorEastAsia" w:hint="eastAsia"/>
          <w:sz w:val="21"/>
          <w:szCs w:val="21"/>
        </w:rPr>
        <w:t>年的</w:t>
      </w:r>
      <w:r>
        <w:rPr>
          <w:rFonts w:asciiTheme="minorEastAsia" w:hAnsiTheme="minorEastAsia" w:hint="eastAsia"/>
          <w:sz w:val="21"/>
          <w:szCs w:val="21"/>
        </w:rPr>
        <w:t>6124</w:t>
      </w:r>
      <w:r>
        <w:rPr>
          <w:rFonts w:asciiTheme="minorEastAsia" w:hAnsiTheme="minorEastAsia" w:hint="eastAsia"/>
          <w:sz w:val="21"/>
          <w:szCs w:val="21"/>
        </w:rPr>
        <w:t>点，甚至可以突破</w:t>
      </w:r>
      <w:r>
        <w:rPr>
          <w:rFonts w:asciiTheme="minorEastAsia" w:hAnsiTheme="minorEastAsia" w:hint="eastAsia"/>
          <w:sz w:val="21"/>
          <w:szCs w:val="21"/>
        </w:rPr>
        <w:t>10000</w:t>
      </w:r>
      <w:r>
        <w:rPr>
          <w:rFonts w:asciiTheme="minorEastAsia" w:hAnsiTheme="minorEastAsia" w:hint="eastAsia"/>
          <w:sz w:val="21"/>
          <w:szCs w:val="21"/>
        </w:rPr>
        <w:t>点的大关。然而实际情况却是截至</w:t>
      </w:r>
      <w:r>
        <w:rPr>
          <w:rFonts w:asciiTheme="minorEastAsia" w:hAnsiTheme="minorEastAsia" w:hint="eastAsia"/>
          <w:sz w:val="21"/>
          <w:szCs w:val="21"/>
        </w:rPr>
        <w:t>2015</w:t>
      </w:r>
      <w:r>
        <w:rPr>
          <w:rFonts w:asciiTheme="minorEastAsia" w:hAnsiTheme="minorEastAsia" w:hint="eastAsia"/>
          <w:sz w:val="21"/>
          <w:szCs w:val="21"/>
        </w:rPr>
        <w:t>年中国股市经历了剧</w:t>
      </w:r>
      <w:r>
        <w:rPr>
          <w:rFonts w:asciiTheme="minorEastAsia" w:hAnsiTheme="minorEastAsia" w:hint="eastAsia"/>
          <w:sz w:val="21"/>
          <w:szCs w:val="21"/>
        </w:rPr>
        <w:t>烈的波动，最高点仅为</w:t>
      </w:r>
      <w:r>
        <w:rPr>
          <w:rFonts w:asciiTheme="minorEastAsia" w:hAnsiTheme="minorEastAsia" w:hint="eastAsia"/>
          <w:sz w:val="21"/>
          <w:szCs w:val="21"/>
        </w:rPr>
        <w:t>5178</w:t>
      </w:r>
      <w:r>
        <w:rPr>
          <w:rFonts w:asciiTheme="minorEastAsia" w:hAnsiTheme="minorEastAsia" w:hint="eastAsia"/>
          <w:sz w:val="21"/>
          <w:szCs w:val="21"/>
        </w:rPr>
        <w:t>点，</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12</w:t>
      </w:r>
      <w:r>
        <w:rPr>
          <w:rFonts w:asciiTheme="minorEastAsia" w:hAnsiTheme="minorEastAsia" w:hint="eastAsia"/>
          <w:sz w:val="21"/>
          <w:szCs w:val="21"/>
        </w:rPr>
        <w:t>月底收盘价为</w:t>
      </w:r>
      <w:r>
        <w:rPr>
          <w:rFonts w:asciiTheme="minorEastAsia" w:hAnsiTheme="minorEastAsia" w:hint="eastAsia"/>
          <w:sz w:val="21"/>
          <w:szCs w:val="21"/>
        </w:rPr>
        <w:t>3539</w:t>
      </w:r>
      <w:r>
        <w:rPr>
          <w:rFonts w:asciiTheme="minorEastAsia" w:hAnsiTheme="minorEastAsia" w:hint="eastAsia"/>
          <w:sz w:val="21"/>
          <w:szCs w:val="21"/>
        </w:rPr>
        <w:t>点，相较于</w:t>
      </w:r>
      <w:r>
        <w:rPr>
          <w:rFonts w:asciiTheme="minorEastAsia" w:hAnsiTheme="minorEastAsia" w:hint="eastAsia"/>
          <w:sz w:val="21"/>
          <w:szCs w:val="21"/>
        </w:rPr>
        <w:t>2015</w:t>
      </w:r>
      <w:r>
        <w:rPr>
          <w:rFonts w:asciiTheme="minorEastAsia" w:hAnsiTheme="minorEastAsia" w:hint="eastAsia"/>
          <w:sz w:val="21"/>
          <w:szCs w:val="21"/>
        </w:rPr>
        <w:t>年年初，涨幅甚至不到</w:t>
      </w:r>
      <w:r>
        <w:rPr>
          <w:rFonts w:asciiTheme="minorEastAsia" w:hAnsiTheme="minorEastAsia" w:hint="eastAsia"/>
          <w:sz w:val="21"/>
          <w:szCs w:val="21"/>
        </w:rPr>
        <w:t>10%</w:t>
      </w:r>
      <w:r>
        <w:rPr>
          <w:rFonts w:asciiTheme="minorEastAsia" w:hAnsiTheme="minorEastAsia" w:hint="eastAsia"/>
          <w:sz w:val="21"/>
          <w:szCs w:val="21"/>
        </w:rPr>
        <w:t>。</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又如，</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6</w:t>
      </w:r>
      <w:r>
        <w:rPr>
          <w:rFonts w:asciiTheme="minorEastAsia" w:hAnsiTheme="minorEastAsia" w:hint="eastAsia"/>
          <w:sz w:val="21"/>
          <w:szCs w:val="21"/>
        </w:rPr>
        <w:t>月</w:t>
      </w:r>
      <w:r>
        <w:rPr>
          <w:rFonts w:asciiTheme="minorEastAsia" w:hAnsiTheme="minorEastAsia" w:hint="eastAsia"/>
          <w:sz w:val="21"/>
          <w:szCs w:val="21"/>
        </w:rPr>
        <w:t>12</w:t>
      </w:r>
      <w:r>
        <w:rPr>
          <w:rFonts w:asciiTheme="minorEastAsia" w:hAnsiTheme="minorEastAsia" w:hint="eastAsia"/>
          <w:sz w:val="21"/>
          <w:szCs w:val="21"/>
        </w:rPr>
        <w:t>日至</w:t>
      </w:r>
      <w:r>
        <w:rPr>
          <w:rFonts w:asciiTheme="minorEastAsia" w:hAnsiTheme="minorEastAsia" w:hint="eastAsia"/>
          <w:sz w:val="21"/>
          <w:szCs w:val="21"/>
        </w:rPr>
        <w:t>2015</w:t>
      </w:r>
      <w:r>
        <w:rPr>
          <w:rFonts w:asciiTheme="minorEastAsia" w:hAnsiTheme="minorEastAsia" w:hint="eastAsia"/>
          <w:sz w:val="21"/>
          <w:szCs w:val="21"/>
        </w:rPr>
        <w:t>年</w:t>
      </w:r>
      <w:r>
        <w:rPr>
          <w:rFonts w:asciiTheme="minorEastAsia" w:hAnsiTheme="minorEastAsia" w:hint="eastAsia"/>
          <w:sz w:val="21"/>
          <w:szCs w:val="21"/>
        </w:rPr>
        <w:t>8</w:t>
      </w:r>
      <w:r>
        <w:rPr>
          <w:rFonts w:asciiTheme="minorEastAsia" w:hAnsiTheme="minorEastAsia" w:hint="eastAsia"/>
          <w:sz w:val="21"/>
          <w:szCs w:val="21"/>
        </w:rPr>
        <w:t>月</w:t>
      </w:r>
      <w:r>
        <w:rPr>
          <w:rFonts w:asciiTheme="minorEastAsia" w:hAnsiTheme="minorEastAsia" w:hint="eastAsia"/>
          <w:sz w:val="21"/>
          <w:szCs w:val="21"/>
        </w:rPr>
        <w:t>24</w:t>
      </w:r>
      <w:r>
        <w:rPr>
          <w:rFonts w:asciiTheme="minorEastAsia" w:hAnsiTheme="minorEastAsia" w:hint="eastAsia"/>
          <w:sz w:val="21"/>
          <w:szCs w:val="21"/>
        </w:rPr>
        <w:t>日期间，股市快速下跌，共有</w:t>
      </w:r>
      <w:r>
        <w:rPr>
          <w:rFonts w:asciiTheme="minorEastAsia" w:hAnsiTheme="minorEastAsia" w:hint="eastAsia"/>
          <w:sz w:val="21"/>
          <w:szCs w:val="21"/>
        </w:rPr>
        <w:t xml:space="preserve">2012 </w:t>
      </w:r>
      <w:r>
        <w:rPr>
          <w:rFonts w:asciiTheme="minorEastAsia" w:hAnsiTheme="minorEastAsia" w:hint="eastAsia"/>
          <w:sz w:val="21"/>
          <w:szCs w:val="21"/>
        </w:rPr>
        <w:t>只个股的跌幅超过了</w:t>
      </w:r>
      <w:r>
        <w:rPr>
          <w:rFonts w:asciiTheme="minorEastAsia" w:hAnsiTheme="minorEastAsia" w:hint="eastAsia"/>
          <w:sz w:val="21"/>
          <w:szCs w:val="21"/>
        </w:rPr>
        <w:t>30%</w:t>
      </w:r>
      <w:r>
        <w:rPr>
          <w:rFonts w:asciiTheme="minorEastAsia" w:hAnsiTheme="minorEastAsia" w:hint="eastAsia"/>
          <w:sz w:val="21"/>
          <w:szCs w:val="21"/>
        </w:rPr>
        <w:t>，然而其中的</w:t>
      </w:r>
      <w:r>
        <w:rPr>
          <w:rFonts w:asciiTheme="minorEastAsia" w:hAnsiTheme="minorEastAsia" w:hint="eastAsia"/>
          <w:sz w:val="21"/>
          <w:szCs w:val="21"/>
        </w:rPr>
        <w:t>1148</w:t>
      </w:r>
      <w:r>
        <w:rPr>
          <w:rFonts w:asciiTheme="minorEastAsia" w:hAnsiTheme="minorEastAsia" w:hint="eastAsia"/>
          <w:sz w:val="21"/>
          <w:szCs w:val="21"/>
        </w:rPr>
        <w:t>只个股近</w:t>
      </w:r>
      <w:r>
        <w:rPr>
          <w:rFonts w:asciiTheme="minorEastAsia" w:hAnsiTheme="minorEastAsia" w:hint="eastAsia"/>
          <w:sz w:val="21"/>
          <w:szCs w:val="21"/>
        </w:rPr>
        <w:t>3</w:t>
      </w:r>
      <w:r>
        <w:rPr>
          <w:rFonts w:asciiTheme="minorEastAsia" w:hAnsiTheme="minorEastAsia" w:hint="eastAsia"/>
          <w:sz w:val="21"/>
          <w:szCs w:val="21"/>
        </w:rPr>
        <w:t>个月以来在券商研报的最新评级中被推荐为增持或买入，由此可以看出券商研报预测的真实性值得质疑，会对投资者决策产生误导。</w:t>
      </w:r>
    </w:p>
    <w:p w:rsidR="00950AD5" w:rsidRDefault="006F3A42">
      <w:pPr>
        <w:ind w:firstLine="480"/>
        <w:rPr>
          <w:rFonts w:asciiTheme="minorEastAsia" w:hAnsiTheme="minorEastAsia"/>
          <w:color w:val="FF0000"/>
          <w:sz w:val="21"/>
          <w:szCs w:val="21"/>
        </w:rPr>
      </w:pPr>
      <w:r>
        <w:rPr>
          <w:rFonts w:asciiTheme="minorEastAsia" w:hAnsiTheme="minorEastAsia" w:hint="eastAsia"/>
          <w:sz w:val="21"/>
          <w:szCs w:val="21"/>
        </w:rPr>
        <w:t>这些都说明券商外部治理机制缺乏市场有效的监督和认可，并不能够给投资者提供有效的建议和指导，因而将证券分析和研究报告的功能从券商中独立出来，建立独</w:t>
      </w:r>
      <w:r>
        <w:rPr>
          <w:rFonts w:asciiTheme="minorEastAsia" w:hAnsiTheme="minorEastAsia" w:hint="eastAsia"/>
          <w:sz w:val="21"/>
          <w:szCs w:val="21"/>
        </w:rPr>
        <w:t>立第三方的咨询机构，不失为一种解决方法。</w:t>
      </w:r>
    </w:p>
    <w:p w:rsidR="00950AD5" w:rsidRDefault="006F3A42">
      <w:pPr>
        <w:ind w:firstLine="480"/>
        <w:rPr>
          <w:rFonts w:asciiTheme="minorEastAsia" w:hAnsiTheme="minorEastAsia"/>
          <w:sz w:val="21"/>
          <w:szCs w:val="21"/>
        </w:rPr>
      </w:pPr>
      <w:r>
        <w:rPr>
          <w:rFonts w:asciiTheme="minorEastAsia" w:hAnsiTheme="minorEastAsia" w:hint="eastAsia"/>
          <w:sz w:val="21"/>
          <w:szCs w:val="21"/>
        </w:rPr>
        <w:t>显而易见，券商一方面作为股市的参与者进行投资，一方面根据证券分析师等专业人</w:t>
      </w:r>
      <w:r>
        <w:rPr>
          <w:rFonts w:asciiTheme="minorEastAsia" w:hAnsiTheme="minorEastAsia" w:hint="eastAsia"/>
          <w:sz w:val="21"/>
          <w:szCs w:val="21"/>
        </w:rPr>
        <w:lastRenderedPageBreak/>
        <w:t>士发布的研究报告来对上市公司进行监督，二者不可避免地会产生冲突，本文就此，提出希望成立由独立于券商的资深学者、专家组成的咨询委员会的建议，为保证其作为第三方独立存在的客观要求，该机构应直属于证监会市场监管部。该机构并不直接参与股市，而是对股市进行独立的、客观的分析和研究，并结合中国当前经济发展的实际情况，针对中国股市的发展提出合理的建议和意见，提供专业的咨询和指导。</w:t>
      </w:r>
    </w:p>
    <w:p w:rsidR="00950AD5" w:rsidRDefault="006F3A42">
      <w:pPr>
        <w:ind w:firstLine="480"/>
        <w:rPr>
          <w:rFonts w:asciiTheme="minorEastAsia" w:hAnsiTheme="minorEastAsia"/>
          <w:color w:val="FF0000"/>
          <w:sz w:val="21"/>
          <w:szCs w:val="21"/>
        </w:rPr>
      </w:pPr>
      <w:r>
        <w:rPr>
          <w:rFonts w:asciiTheme="minorEastAsia" w:hAnsiTheme="minorEastAsia" w:hint="eastAsia"/>
          <w:sz w:val="21"/>
          <w:szCs w:val="21"/>
        </w:rPr>
        <w:t>对于咨询委员会的人员构成，</w:t>
      </w:r>
      <w:r>
        <w:rPr>
          <w:rFonts w:asciiTheme="minorEastAsia" w:hAnsiTheme="minorEastAsia" w:hint="eastAsia"/>
          <w:sz w:val="21"/>
          <w:szCs w:val="21"/>
        </w:rPr>
        <w:t>本文建议</w:t>
      </w:r>
      <w:r>
        <w:rPr>
          <w:rFonts w:asciiTheme="minorEastAsia" w:hAnsiTheme="minorEastAsia" w:hint="eastAsia"/>
          <w:sz w:val="21"/>
          <w:szCs w:val="21"/>
        </w:rPr>
        <w:t>60%</w:t>
      </w:r>
      <w:r>
        <w:rPr>
          <w:rFonts w:asciiTheme="minorEastAsia" w:hAnsiTheme="minorEastAsia" w:hint="eastAsia"/>
          <w:sz w:val="21"/>
          <w:szCs w:val="21"/>
        </w:rPr>
        <w:t>以上由国内知名的，具有深厚的理论知识储备及丰富的实践经验，同时对与股市相关的学术领域做出重要研究的专家、学者构成，他们既可以引荐国外先进的研究来丰富中国的股市，同时也能够对政策的制订和实施提出可行的建议；</w:t>
      </w:r>
      <w:r>
        <w:rPr>
          <w:rFonts w:asciiTheme="minorEastAsia" w:hAnsiTheme="minorEastAsia" w:hint="eastAsia"/>
          <w:sz w:val="21"/>
          <w:szCs w:val="21"/>
        </w:rPr>
        <w:t>20%</w:t>
      </w:r>
      <w:r>
        <w:rPr>
          <w:rFonts w:asciiTheme="minorEastAsia" w:hAnsiTheme="minorEastAsia" w:hint="eastAsia"/>
          <w:sz w:val="21"/>
          <w:szCs w:val="21"/>
        </w:rPr>
        <w:t>左右的人员由证监会的领导组成，既向咨询委员会传达国家的政策方针、发展方向，同时接受委员会成员的提议和意见并向上反馈，以达到信息的双向传递的目的；最后</w:t>
      </w:r>
      <w:r>
        <w:rPr>
          <w:rFonts w:asciiTheme="minorEastAsia" w:hAnsiTheme="minorEastAsia" w:hint="eastAsia"/>
          <w:sz w:val="21"/>
          <w:szCs w:val="21"/>
        </w:rPr>
        <w:t>20%</w:t>
      </w:r>
      <w:r>
        <w:rPr>
          <w:rFonts w:asciiTheme="minorEastAsia" w:hAnsiTheme="minorEastAsia" w:hint="eastAsia"/>
          <w:sz w:val="21"/>
          <w:szCs w:val="21"/>
        </w:rPr>
        <w:t>则由投资者、券商、证券交易所、上市公司、基金公司、境外机构等证监会服务对象的代表组成，可以反映各方参与者在市场运作中存在的问题并及时加</w:t>
      </w:r>
      <w:r>
        <w:rPr>
          <w:rFonts w:asciiTheme="minorEastAsia" w:hAnsiTheme="minorEastAsia" w:hint="eastAsia"/>
          <w:sz w:val="21"/>
          <w:szCs w:val="21"/>
        </w:rPr>
        <w:t>以解决。</w:t>
      </w:r>
    </w:p>
    <w:p w:rsidR="00950AD5" w:rsidRDefault="006F3A42">
      <w:pPr>
        <w:pStyle w:val="1"/>
        <w:spacing w:line="240" w:lineRule="auto"/>
        <w:rPr>
          <w:rFonts w:ascii="黑体" w:hAnsiTheme="minorEastAsia"/>
          <w:b w:val="0"/>
          <w:szCs w:val="28"/>
        </w:rPr>
      </w:pPr>
      <w:r>
        <w:rPr>
          <w:rFonts w:ascii="黑体" w:hAnsiTheme="minorEastAsia" w:hint="eastAsia"/>
          <w:b w:val="0"/>
          <w:szCs w:val="28"/>
        </w:rPr>
        <w:t>六</w:t>
      </w:r>
      <w:r>
        <w:rPr>
          <w:rFonts w:ascii="黑体" w:hAnsiTheme="minorEastAsia" w:hint="eastAsia"/>
          <w:b w:val="0"/>
          <w:szCs w:val="28"/>
        </w:rPr>
        <w:t xml:space="preserve"> </w:t>
      </w:r>
      <w:r>
        <w:rPr>
          <w:rFonts w:ascii="黑体" w:hAnsiTheme="minorEastAsia" w:hint="eastAsia"/>
          <w:b w:val="0"/>
          <w:szCs w:val="28"/>
        </w:rPr>
        <w:t>结语与展望</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十三五规划下，供给侧改革成为重点，发展更加注重股市的改革，更加注重股市服务实体经济的效率，证监会对于市场的监管也日趋严格，更加注重风险的防范和制度的完善，以建立健全持续、健康发展的证券市场。</w:t>
      </w:r>
    </w:p>
    <w:p w:rsidR="00950AD5" w:rsidRDefault="006F3A42">
      <w:pPr>
        <w:ind w:firstLineChars="200" w:firstLine="420"/>
        <w:rPr>
          <w:rFonts w:asciiTheme="minorEastAsia" w:hAnsiTheme="minorEastAsia"/>
          <w:sz w:val="21"/>
          <w:szCs w:val="21"/>
        </w:rPr>
      </w:pPr>
      <w:r>
        <w:rPr>
          <w:rFonts w:asciiTheme="minorEastAsia" w:hAnsiTheme="minorEastAsia" w:hint="eastAsia"/>
          <w:sz w:val="21"/>
          <w:szCs w:val="21"/>
        </w:rPr>
        <w:t>因而本文注重作为中介和桥梁的券商的公司治理，这也对券商提出了更严格的要求。券商应吸取</w:t>
      </w:r>
      <w:r>
        <w:rPr>
          <w:rFonts w:asciiTheme="minorEastAsia" w:hAnsiTheme="minorEastAsia" w:hint="eastAsia"/>
          <w:sz w:val="21"/>
          <w:szCs w:val="21"/>
        </w:rPr>
        <w:t>2015</w:t>
      </w:r>
      <w:r>
        <w:rPr>
          <w:rFonts w:asciiTheme="minorEastAsia" w:hAnsiTheme="minorEastAsia" w:hint="eastAsia"/>
          <w:sz w:val="21"/>
          <w:szCs w:val="21"/>
        </w:rPr>
        <w:t>年违规事件的教训，反思其存在的问题和不足，加强内部治理，特别是新业务、新产品的规范化问题和高管的约束问题，降低杠杆率，交易做到程序化严格管理，加强员工教育和监督；同时改善外部环境，强化外部治理机制，依法</w:t>
      </w:r>
      <w:r>
        <w:rPr>
          <w:rFonts w:asciiTheme="minorEastAsia" w:hAnsiTheme="minorEastAsia" w:hint="eastAsia"/>
          <w:sz w:val="21"/>
          <w:szCs w:val="21"/>
        </w:rPr>
        <w:t>经营，合规诚信，以更好地服务于实体经济，适应经济发展新常态，保持竞争优势</w:t>
      </w:r>
      <w:r>
        <w:rPr>
          <w:rFonts w:asciiTheme="minorEastAsia" w:hAnsiTheme="minorEastAsia" w:hint="eastAsia"/>
          <w:sz w:val="21"/>
          <w:szCs w:val="21"/>
          <w:vertAlign w:val="superscript"/>
        </w:rPr>
        <w:t>[18]</w:t>
      </w:r>
      <w:r>
        <w:rPr>
          <w:rFonts w:asciiTheme="minorEastAsia" w:hAnsiTheme="minorEastAsia" w:hint="eastAsia"/>
          <w:sz w:val="21"/>
          <w:szCs w:val="21"/>
        </w:rPr>
        <w:t>，成为促进资本市场长期稳定健康发展、全面建成小康社会的重要保障，为实现第二个百年奋斗目标、实现中华民族伟大复兴的中国梦奠定更加坚实的基础。</w:t>
      </w: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950AD5">
      <w:pPr>
        <w:rPr>
          <w:rFonts w:asciiTheme="minorEastAsia" w:hAnsiTheme="minorEastAsia"/>
          <w:sz w:val="21"/>
          <w:szCs w:val="21"/>
        </w:rPr>
      </w:pPr>
    </w:p>
    <w:p w:rsidR="00950AD5" w:rsidRDefault="006F3A42">
      <w:pPr>
        <w:rPr>
          <w:rFonts w:asciiTheme="minorEastAsia" w:hAnsiTheme="minorEastAsia"/>
          <w:sz w:val="21"/>
          <w:szCs w:val="21"/>
        </w:rPr>
      </w:pPr>
      <w:r>
        <w:rPr>
          <w:rFonts w:asciiTheme="minorEastAsia" w:hAnsiTheme="minorEastAsia" w:hint="eastAsia"/>
          <w:sz w:val="21"/>
          <w:szCs w:val="21"/>
        </w:rPr>
        <w:t>参考文献：</w:t>
      </w:r>
    </w:p>
    <w:p w:rsidR="00950AD5" w:rsidRDefault="006F3A42">
      <w:pP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hint="eastAsia"/>
          <w:sz w:val="21"/>
          <w:szCs w:val="21"/>
        </w:rPr>
        <w:t>陆瑶</w:t>
      </w:r>
      <w:r>
        <w:rPr>
          <w:rFonts w:asciiTheme="minorEastAsia" w:hAnsiTheme="minorEastAsia" w:hint="eastAsia"/>
          <w:sz w:val="21"/>
          <w:szCs w:val="21"/>
        </w:rPr>
        <w:t>,</w:t>
      </w:r>
      <w:r>
        <w:rPr>
          <w:rFonts w:asciiTheme="minorEastAsia" w:hAnsiTheme="minorEastAsia" w:hint="eastAsia"/>
          <w:sz w:val="21"/>
          <w:szCs w:val="21"/>
        </w:rPr>
        <w:t>朱玉杰</w:t>
      </w:r>
      <w:r>
        <w:rPr>
          <w:rFonts w:asciiTheme="minorEastAsia" w:hAnsiTheme="minorEastAsia" w:hint="eastAsia"/>
          <w:sz w:val="21"/>
          <w:szCs w:val="21"/>
        </w:rPr>
        <w:t>,</w:t>
      </w:r>
      <w:r>
        <w:rPr>
          <w:rFonts w:asciiTheme="minorEastAsia" w:hAnsiTheme="minorEastAsia" w:hint="eastAsia"/>
          <w:sz w:val="21"/>
          <w:szCs w:val="21"/>
        </w:rPr>
        <w:t>胡晓元</w:t>
      </w:r>
      <w:r>
        <w:rPr>
          <w:rFonts w:asciiTheme="minorEastAsia" w:hAnsiTheme="minorEastAsia" w:hint="eastAsia"/>
          <w:sz w:val="21"/>
          <w:szCs w:val="21"/>
        </w:rPr>
        <w:t>.</w:t>
      </w:r>
      <w:r>
        <w:rPr>
          <w:rFonts w:asciiTheme="minorEastAsia" w:hAnsiTheme="minorEastAsia" w:hint="eastAsia"/>
          <w:sz w:val="21"/>
          <w:szCs w:val="21"/>
        </w:rPr>
        <w:t>机构投资者持股与上市公司违规行为的实证研究</w:t>
      </w:r>
      <w:r>
        <w:rPr>
          <w:rFonts w:asciiTheme="minorEastAsia" w:hAnsiTheme="minorEastAsia" w:hint="eastAsia"/>
          <w:sz w:val="21"/>
          <w:szCs w:val="21"/>
        </w:rPr>
        <w:t>[J].</w:t>
      </w:r>
      <w:r>
        <w:rPr>
          <w:rFonts w:asciiTheme="minorEastAsia" w:hAnsiTheme="minorEastAsia" w:hint="eastAsia"/>
          <w:sz w:val="21"/>
          <w:szCs w:val="21"/>
        </w:rPr>
        <w:t>南开管理评论</w:t>
      </w:r>
      <w:r>
        <w:rPr>
          <w:rFonts w:asciiTheme="minorEastAsia" w:hAnsiTheme="minorEastAsia" w:hint="eastAsia"/>
          <w:sz w:val="21"/>
          <w:szCs w:val="21"/>
        </w:rPr>
        <w:t>,2012(01):13-23.</w:t>
      </w:r>
    </w:p>
    <w:p w:rsidR="00950AD5" w:rsidRDefault="006F3A42">
      <w:pP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hint="eastAsia"/>
          <w:sz w:val="21"/>
          <w:szCs w:val="21"/>
        </w:rPr>
        <w:t>李维安</w:t>
      </w:r>
      <w:r>
        <w:rPr>
          <w:rFonts w:asciiTheme="minorEastAsia" w:hAnsiTheme="minorEastAsia" w:hint="eastAsia"/>
          <w:sz w:val="21"/>
          <w:szCs w:val="21"/>
        </w:rPr>
        <w:t>,</w:t>
      </w:r>
      <w:r>
        <w:rPr>
          <w:rFonts w:asciiTheme="minorEastAsia" w:hAnsiTheme="minorEastAsia" w:hint="eastAsia"/>
          <w:sz w:val="21"/>
          <w:szCs w:val="21"/>
        </w:rPr>
        <w:t>邱艾超</w:t>
      </w:r>
      <w:r>
        <w:rPr>
          <w:rFonts w:asciiTheme="minorEastAsia" w:hAnsiTheme="minorEastAsia" w:hint="eastAsia"/>
          <w:sz w:val="21"/>
          <w:szCs w:val="21"/>
        </w:rPr>
        <w:t>,</w:t>
      </w:r>
      <w:r>
        <w:rPr>
          <w:rFonts w:asciiTheme="minorEastAsia" w:hAnsiTheme="minorEastAsia" w:hint="eastAsia"/>
          <w:sz w:val="21"/>
          <w:szCs w:val="21"/>
        </w:rPr>
        <w:t>牛建波</w:t>
      </w:r>
      <w:r>
        <w:rPr>
          <w:rFonts w:asciiTheme="minorEastAsia" w:hAnsiTheme="minorEastAsia" w:hint="eastAsia"/>
          <w:sz w:val="21"/>
          <w:szCs w:val="21"/>
        </w:rPr>
        <w:t>,</w:t>
      </w:r>
      <w:r>
        <w:rPr>
          <w:rFonts w:asciiTheme="minorEastAsia" w:hAnsiTheme="minorEastAsia" w:hint="eastAsia"/>
          <w:sz w:val="21"/>
          <w:szCs w:val="21"/>
        </w:rPr>
        <w:t>徐业坤</w:t>
      </w:r>
      <w:r>
        <w:rPr>
          <w:rFonts w:asciiTheme="minorEastAsia" w:hAnsiTheme="minorEastAsia" w:hint="eastAsia"/>
          <w:sz w:val="21"/>
          <w:szCs w:val="21"/>
        </w:rPr>
        <w:t>.</w:t>
      </w:r>
      <w:r>
        <w:rPr>
          <w:rFonts w:asciiTheme="minorEastAsia" w:hAnsiTheme="minorEastAsia" w:hint="eastAsia"/>
          <w:sz w:val="21"/>
          <w:szCs w:val="21"/>
        </w:rPr>
        <w:t>公司治理研究的新进展</w:t>
      </w:r>
      <w:r>
        <w:rPr>
          <w:rFonts w:asciiTheme="minorEastAsia" w:hAnsiTheme="minorEastAsia" w:hint="eastAsia"/>
          <w:sz w:val="21"/>
          <w:szCs w:val="21"/>
        </w:rPr>
        <w:t>:</w:t>
      </w:r>
      <w:r>
        <w:rPr>
          <w:rFonts w:asciiTheme="minorEastAsia" w:hAnsiTheme="minorEastAsia" w:hint="eastAsia"/>
          <w:sz w:val="21"/>
          <w:szCs w:val="21"/>
        </w:rPr>
        <w:t>国际趋势与中国模式</w:t>
      </w:r>
      <w:r>
        <w:rPr>
          <w:rFonts w:asciiTheme="minorEastAsia" w:hAnsiTheme="minorEastAsia" w:hint="eastAsia"/>
          <w:sz w:val="21"/>
          <w:szCs w:val="21"/>
        </w:rPr>
        <w:t>[J].</w:t>
      </w:r>
      <w:r>
        <w:rPr>
          <w:rFonts w:asciiTheme="minorEastAsia" w:hAnsiTheme="minorEastAsia" w:hint="eastAsia"/>
          <w:sz w:val="21"/>
          <w:szCs w:val="21"/>
        </w:rPr>
        <w:t>南开管理评论</w:t>
      </w:r>
      <w:r>
        <w:rPr>
          <w:rFonts w:asciiTheme="minorEastAsia" w:hAnsiTheme="minorEastAsia" w:hint="eastAsia"/>
          <w:sz w:val="21"/>
          <w:szCs w:val="21"/>
        </w:rPr>
        <w:t>,2010(06):13-24.</w:t>
      </w:r>
    </w:p>
    <w:p w:rsidR="00950AD5" w:rsidRDefault="006F3A42">
      <w:pPr>
        <w:rPr>
          <w:rFonts w:asciiTheme="minorEastAsia" w:hAnsiTheme="minorEastAsia"/>
          <w:sz w:val="21"/>
          <w:szCs w:val="21"/>
        </w:rPr>
      </w:pPr>
      <w:r>
        <w:rPr>
          <w:rFonts w:asciiTheme="minorEastAsia" w:hAnsiTheme="minorEastAsia" w:hint="eastAsia"/>
          <w:sz w:val="21"/>
          <w:szCs w:val="21"/>
        </w:rPr>
        <w:t>[3]</w:t>
      </w:r>
      <w:r>
        <w:rPr>
          <w:rFonts w:asciiTheme="minorEastAsia" w:hAnsiTheme="minorEastAsia" w:hint="eastAsia"/>
          <w:sz w:val="21"/>
          <w:szCs w:val="21"/>
        </w:rPr>
        <w:t>郑志刚</w:t>
      </w:r>
      <w:r>
        <w:rPr>
          <w:rFonts w:asciiTheme="minorEastAsia" w:hAnsiTheme="minorEastAsia" w:hint="eastAsia"/>
          <w:sz w:val="21"/>
          <w:szCs w:val="21"/>
        </w:rPr>
        <w:t>.</w:t>
      </w:r>
      <w:r>
        <w:rPr>
          <w:rFonts w:asciiTheme="minorEastAsia" w:hAnsiTheme="minorEastAsia" w:hint="eastAsia"/>
          <w:sz w:val="21"/>
          <w:szCs w:val="21"/>
        </w:rPr>
        <w:t>对公司治理内涵的重新认识</w:t>
      </w:r>
      <w:r>
        <w:rPr>
          <w:rFonts w:asciiTheme="minorEastAsia" w:hAnsiTheme="minorEastAsia" w:hint="eastAsia"/>
          <w:sz w:val="21"/>
          <w:szCs w:val="21"/>
        </w:rPr>
        <w:t>[J].</w:t>
      </w:r>
      <w:r>
        <w:rPr>
          <w:rFonts w:asciiTheme="minorEastAsia" w:hAnsiTheme="minorEastAsia" w:hint="eastAsia"/>
          <w:sz w:val="21"/>
          <w:szCs w:val="21"/>
        </w:rPr>
        <w:t>金融研究</w:t>
      </w:r>
      <w:r>
        <w:rPr>
          <w:rFonts w:asciiTheme="minorEastAsia" w:hAnsiTheme="minorEastAsia" w:hint="eastAsia"/>
          <w:sz w:val="21"/>
          <w:szCs w:val="21"/>
        </w:rPr>
        <w:t>,2010(08):184-198.</w:t>
      </w:r>
    </w:p>
    <w:p w:rsidR="00950AD5" w:rsidRDefault="006F3A42">
      <w:pPr>
        <w:rPr>
          <w:rFonts w:asciiTheme="minorEastAsia" w:hAnsiTheme="minorEastAsia"/>
          <w:sz w:val="21"/>
          <w:szCs w:val="21"/>
        </w:rPr>
      </w:pPr>
      <w:r>
        <w:rPr>
          <w:rFonts w:asciiTheme="minorEastAsia" w:hAnsiTheme="minorEastAsia" w:hint="eastAsia"/>
          <w:sz w:val="21"/>
          <w:szCs w:val="21"/>
        </w:rPr>
        <w:t>[4]</w:t>
      </w:r>
      <w:r>
        <w:rPr>
          <w:rFonts w:asciiTheme="minorEastAsia" w:hAnsiTheme="minorEastAsia" w:hint="eastAsia"/>
          <w:sz w:val="21"/>
          <w:szCs w:val="21"/>
        </w:rPr>
        <w:t>李云鹤</w:t>
      </w:r>
      <w:r>
        <w:rPr>
          <w:rFonts w:asciiTheme="minorEastAsia" w:hAnsiTheme="minorEastAsia" w:hint="eastAsia"/>
          <w:sz w:val="21"/>
          <w:szCs w:val="21"/>
        </w:rPr>
        <w:t>,</w:t>
      </w:r>
      <w:r>
        <w:rPr>
          <w:rFonts w:asciiTheme="minorEastAsia" w:hAnsiTheme="minorEastAsia" w:hint="eastAsia"/>
          <w:sz w:val="21"/>
          <w:szCs w:val="21"/>
        </w:rPr>
        <w:t>李湛</w:t>
      </w:r>
      <w:r>
        <w:rPr>
          <w:rFonts w:asciiTheme="minorEastAsia" w:hAnsiTheme="minorEastAsia" w:hint="eastAsia"/>
          <w:sz w:val="21"/>
          <w:szCs w:val="21"/>
        </w:rPr>
        <w:t>,</w:t>
      </w:r>
      <w:r>
        <w:rPr>
          <w:rFonts w:asciiTheme="minorEastAsia" w:hAnsiTheme="minorEastAsia" w:hint="eastAsia"/>
          <w:sz w:val="21"/>
          <w:szCs w:val="21"/>
        </w:rPr>
        <w:t>唐松莲</w:t>
      </w:r>
      <w:r>
        <w:rPr>
          <w:rFonts w:asciiTheme="minorEastAsia" w:hAnsiTheme="minorEastAsia" w:hint="eastAsia"/>
          <w:sz w:val="21"/>
          <w:szCs w:val="21"/>
        </w:rPr>
        <w:t>.</w:t>
      </w:r>
      <w:r>
        <w:rPr>
          <w:rFonts w:asciiTheme="minorEastAsia" w:hAnsiTheme="minorEastAsia" w:hint="eastAsia"/>
          <w:sz w:val="21"/>
          <w:szCs w:val="21"/>
        </w:rPr>
        <w:t>企业生命周期、公司治理与公司资本配置效率</w:t>
      </w:r>
      <w:r>
        <w:rPr>
          <w:rFonts w:asciiTheme="minorEastAsia" w:hAnsiTheme="minorEastAsia" w:hint="eastAsia"/>
          <w:sz w:val="21"/>
          <w:szCs w:val="21"/>
        </w:rPr>
        <w:t>[J].</w:t>
      </w:r>
      <w:r>
        <w:rPr>
          <w:rFonts w:asciiTheme="minorEastAsia" w:hAnsiTheme="minorEastAsia" w:hint="eastAsia"/>
          <w:sz w:val="21"/>
          <w:szCs w:val="21"/>
        </w:rPr>
        <w:t>南开管理评论</w:t>
      </w:r>
      <w:r>
        <w:rPr>
          <w:rFonts w:asciiTheme="minorEastAsia" w:hAnsiTheme="minorEastAsia" w:hint="eastAsia"/>
          <w:sz w:val="21"/>
          <w:szCs w:val="21"/>
        </w:rPr>
        <w:t>,2011(03):110-121.</w:t>
      </w:r>
    </w:p>
    <w:p w:rsidR="00950AD5" w:rsidRDefault="006F3A42">
      <w:pPr>
        <w:rPr>
          <w:rFonts w:asciiTheme="minorEastAsia" w:hAnsiTheme="minorEastAsia"/>
          <w:sz w:val="21"/>
          <w:szCs w:val="21"/>
        </w:rPr>
      </w:pPr>
      <w:r>
        <w:rPr>
          <w:rFonts w:asciiTheme="minorEastAsia" w:hAnsiTheme="minorEastAsia" w:hint="eastAsia"/>
          <w:sz w:val="21"/>
          <w:szCs w:val="21"/>
        </w:rPr>
        <w:t>[5]</w:t>
      </w:r>
      <w:r>
        <w:rPr>
          <w:rFonts w:asciiTheme="minorEastAsia" w:hAnsiTheme="minorEastAsia" w:hint="eastAsia"/>
          <w:sz w:val="21"/>
          <w:szCs w:val="21"/>
        </w:rPr>
        <w:t>刘银国</w:t>
      </w:r>
      <w:r>
        <w:rPr>
          <w:rFonts w:asciiTheme="minorEastAsia" w:hAnsiTheme="minorEastAsia" w:hint="eastAsia"/>
          <w:sz w:val="21"/>
          <w:szCs w:val="21"/>
        </w:rPr>
        <w:t>,</w:t>
      </w:r>
      <w:r>
        <w:rPr>
          <w:rFonts w:asciiTheme="minorEastAsia" w:hAnsiTheme="minorEastAsia" w:hint="eastAsia"/>
          <w:sz w:val="21"/>
          <w:szCs w:val="21"/>
        </w:rPr>
        <w:t>朱龙</w:t>
      </w:r>
      <w:r>
        <w:rPr>
          <w:rFonts w:asciiTheme="minorEastAsia" w:hAnsiTheme="minorEastAsia" w:hint="eastAsia"/>
          <w:sz w:val="21"/>
          <w:szCs w:val="21"/>
        </w:rPr>
        <w:t>.</w:t>
      </w:r>
      <w:r>
        <w:rPr>
          <w:rFonts w:asciiTheme="minorEastAsia" w:hAnsiTheme="minorEastAsia" w:hint="eastAsia"/>
          <w:sz w:val="21"/>
          <w:szCs w:val="21"/>
        </w:rPr>
        <w:t>公司治理与企业价值的实证研究</w:t>
      </w:r>
      <w:r>
        <w:rPr>
          <w:rFonts w:asciiTheme="minorEastAsia" w:hAnsiTheme="minorEastAsia" w:hint="eastAsia"/>
          <w:sz w:val="21"/>
          <w:szCs w:val="21"/>
        </w:rPr>
        <w:t>[J].</w:t>
      </w:r>
      <w:r>
        <w:rPr>
          <w:rFonts w:asciiTheme="minorEastAsia" w:hAnsiTheme="minorEastAsia" w:hint="eastAsia"/>
          <w:sz w:val="21"/>
          <w:szCs w:val="21"/>
        </w:rPr>
        <w:t>管理评论</w:t>
      </w:r>
      <w:r>
        <w:rPr>
          <w:rFonts w:asciiTheme="minorEastAsia" w:hAnsiTheme="minorEastAsia" w:hint="eastAsia"/>
          <w:sz w:val="21"/>
          <w:szCs w:val="21"/>
        </w:rPr>
        <w:t>,2011(02):45-52.</w:t>
      </w:r>
    </w:p>
    <w:p w:rsidR="00950AD5" w:rsidRDefault="006F3A42">
      <w:pP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hint="eastAsia"/>
          <w:sz w:val="21"/>
          <w:szCs w:val="21"/>
        </w:rPr>
        <w:t>曹廷求</w:t>
      </w:r>
      <w:r>
        <w:rPr>
          <w:rFonts w:asciiTheme="minorEastAsia" w:hAnsiTheme="minorEastAsia" w:hint="eastAsia"/>
          <w:sz w:val="21"/>
          <w:szCs w:val="21"/>
        </w:rPr>
        <w:t>,</w:t>
      </w:r>
      <w:r>
        <w:rPr>
          <w:rFonts w:asciiTheme="minorEastAsia" w:hAnsiTheme="minorEastAsia" w:hint="eastAsia"/>
          <w:sz w:val="21"/>
          <w:szCs w:val="21"/>
        </w:rPr>
        <w:t>钱先航</w:t>
      </w:r>
      <w:r>
        <w:rPr>
          <w:rFonts w:asciiTheme="minorEastAsia" w:hAnsiTheme="minorEastAsia" w:hint="eastAsia"/>
          <w:sz w:val="21"/>
          <w:szCs w:val="21"/>
        </w:rPr>
        <w:t>.</w:t>
      </w:r>
      <w:r>
        <w:rPr>
          <w:rFonts w:asciiTheme="minorEastAsia" w:hAnsiTheme="minorEastAsia" w:hint="eastAsia"/>
          <w:sz w:val="21"/>
          <w:szCs w:val="21"/>
        </w:rPr>
        <w:t>公司治理与风险管理</w:t>
      </w:r>
      <w:r>
        <w:rPr>
          <w:rFonts w:asciiTheme="minorEastAsia" w:hAnsiTheme="minorEastAsia" w:hint="eastAsia"/>
          <w:sz w:val="21"/>
          <w:szCs w:val="21"/>
        </w:rPr>
        <w:t>:</w:t>
      </w:r>
      <w:r>
        <w:rPr>
          <w:rFonts w:asciiTheme="minorEastAsia" w:hAnsiTheme="minorEastAsia" w:hint="eastAsia"/>
          <w:sz w:val="21"/>
          <w:szCs w:val="21"/>
        </w:rPr>
        <w:t>基于治理风险视角的分析</w:t>
      </w:r>
      <w:r>
        <w:rPr>
          <w:rFonts w:asciiTheme="minorEastAsia" w:hAnsiTheme="minorEastAsia" w:hint="eastAsia"/>
          <w:sz w:val="21"/>
          <w:szCs w:val="21"/>
        </w:rPr>
        <w:t>[J].</w:t>
      </w:r>
      <w:r>
        <w:rPr>
          <w:rFonts w:asciiTheme="minorEastAsia" w:hAnsiTheme="minorEastAsia" w:hint="eastAsia"/>
          <w:sz w:val="21"/>
          <w:szCs w:val="21"/>
        </w:rPr>
        <w:t>会计研究</w:t>
      </w:r>
      <w:r>
        <w:rPr>
          <w:rFonts w:asciiTheme="minorEastAsia" w:hAnsiTheme="minorEastAsia" w:hint="eastAsia"/>
          <w:sz w:val="21"/>
          <w:szCs w:val="21"/>
        </w:rPr>
        <w:t>,2011(07):73-77.</w:t>
      </w:r>
    </w:p>
    <w:p w:rsidR="00950AD5" w:rsidRDefault="006F3A42">
      <w:pPr>
        <w:rPr>
          <w:rFonts w:asciiTheme="minorEastAsia" w:hAnsiTheme="minorEastAsia"/>
          <w:sz w:val="21"/>
          <w:szCs w:val="21"/>
        </w:rPr>
      </w:pPr>
      <w:r>
        <w:rPr>
          <w:rFonts w:asciiTheme="minorEastAsia" w:hAnsiTheme="minorEastAsia" w:hint="eastAsia"/>
          <w:sz w:val="21"/>
          <w:szCs w:val="21"/>
        </w:rPr>
        <w:t>[7]</w:t>
      </w:r>
      <w:r>
        <w:rPr>
          <w:rFonts w:asciiTheme="minorEastAsia" w:hAnsiTheme="minorEastAsia" w:hint="eastAsia"/>
          <w:sz w:val="21"/>
          <w:szCs w:val="21"/>
        </w:rPr>
        <w:t>高汉祥</w:t>
      </w:r>
      <w:r>
        <w:rPr>
          <w:rFonts w:asciiTheme="minorEastAsia" w:hAnsiTheme="minorEastAsia" w:hint="eastAsia"/>
          <w:sz w:val="21"/>
          <w:szCs w:val="21"/>
        </w:rPr>
        <w:t>.</w:t>
      </w:r>
      <w:r>
        <w:rPr>
          <w:rFonts w:asciiTheme="minorEastAsia" w:hAnsiTheme="minorEastAsia" w:hint="eastAsia"/>
          <w:sz w:val="21"/>
          <w:szCs w:val="21"/>
        </w:rPr>
        <w:t>公司治理与社会责任</w:t>
      </w:r>
      <w:r>
        <w:rPr>
          <w:rFonts w:asciiTheme="minorEastAsia" w:hAnsiTheme="minorEastAsia" w:hint="eastAsia"/>
          <w:sz w:val="21"/>
          <w:szCs w:val="21"/>
        </w:rPr>
        <w:t>:</w:t>
      </w:r>
      <w:r>
        <w:rPr>
          <w:rFonts w:asciiTheme="minorEastAsia" w:hAnsiTheme="minorEastAsia" w:hint="eastAsia"/>
          <w:sz w:val="21"/>
          <w:szCs w:val="21"/>
        </w:rPr>
        <w:t>被动回应还是主动嵌入</w:t>
      </w:r>
      <w:r>
        <w:rPr>
          <w:rFonts w:asciiTheme="minorEastAsia" w:hAnsiTheme="minorEastAsia" w:hint="eastAsia"/>
          <w:sz w:val="21"/>
          <w:szCs w:val="21"/>
        </w:rPr>
        <w:t>[J].</w:t>
      </w:r>
      <w:r>
        <w:rPr>
          <w:rFonts w:asciiTheme="minorEastAsia" w:hAnsiTheme="minorEastAsia" w:hint="eastAsia"/>
          <w:sz w:val="21"/>
          <w:szCs w:val="21"/>
        </w:rPr>
        <w:t>会计研究</w:t>
      </w:r>
      <w:r>
        <w:rPr>
          <w:rFonts w:asciiTheme="minorEastAsia" w:hAnsiTheme="minorEastAsia" w:hint="eastAsia"/>
          <w:sz w:val="21"/>
          <w:szCs w:val="21"/>
        </w:rPr>
        <w:t>,2012(04):58-64.</w:t>
      </w:r>
    </w:p>
    <w:p w:rsidR="00950AD5" w:rsidRDefault="006F3A42">
      <w:pPr>
        <w:rPr>
          <w:rFonts w:asciiTheme="minorEastAsia" w:hAnsiTheme="minorEastAsia"/>
          <w:sz w:val="21"/>
          <w:szCs w:val="21"/>
        </w:rPr>
      </w:pPr>
      <w:r>
        <w:rPr>
          <w:rFonts w:asciiTheme="minorEastAsia" w:hAnsiTheme="minorEastAsia" w:hint="eastAsia"/>
          <w:sz w:val="21"/>
          <w:szCs w:val="21"/>
        </w:rPr>
        <w:t>[8]</w:t>
      </w:r>
      <w:r>
        <w:rPr>
          <w:rFonts w:asciiTheme="minorEastAsia" w:hAnsiTheme="minorEastAsia" w:hint="eastAsia"/>
          <w:sz w:val="21"/>
          <w:szCs w:val="21"/>
        </w:rPr>
        <w:t>张洪辉</w:t>
      </w:r>
      <w:r>
        <w:rPr>
          <w:rFonts w:asciiTheme="minorEastAsia" w:hAnsiTheme="minorEastAsia" w:hint="eastAsia"/>
          <w:sz w:val="21"/>
          <w:szCs w:val="21"/>
        </w:rPr>
        <w:t>,</w:t>
      </w:r>
      <w:r>
        <w:rPr>
          <w:rFonts w:asciiTheme="minorEastAsia" w:hAnsiTheme="minorEastAsia" w:hint="eastAsia"/>
          <w:sz w:val="21"/>
          <w:szCs w:val="21"/>
        </w:rPr>
        <w:t>夏天</w:t>
      </w:r>
      <w:r>
        <w:rPr>
          <w:rFonts w:asciiTheme="minorEastAsia" w:hAnsiTheme="minorEastAsia" w:hint="eastAsia"/>
          <w:sz w:val="21"/>
          <w:szCs w:val="21"/>
        </w:rPr>
        <w:t>,</w:t>
      </w:r>
      <w:r>
        <w:rPr>
          <w:rFonts w:asciiTheme="minorEastAsia" w:hAnsiTheme="minorEastAsia" w:hint="eastAsia"/>
          <w:sz w:val="21"/>
          <w:szCs w:val="21"/>
        </w:rPr>
        <w:t>王宗军</w:t>
      </w:r>
      <w:r>
        <w:rPr>
          <w:rFonts w:asciiTheme="minorEastAsia" w:hAnsiTheme="minorEastAsia" w:hint="eastAsia"/>
          <w:sz w:val="21"/>
          <w:szCs w:val="21"/>
        </w:rPr>
        <w:t>.</w:t>
      </w:r>
      <w:r>
        <w:rPr>
          <w:rFonts w:asciiTheme="minorEastAsia" w:hAnsiTheme="minorEastAsia" w:hint="eastAsia"/>
          <w:sz w:val="21"/>
          <w:szCs w:val="21"/>
        </w:rPr>
        <w:t>公司治理对我国企业创新效率影响实证研究</w:t>
      </w:r>
      <w:r>
        <w:rPr>
          <w:rFonts w:asciiTheme="minorEastAsia" w:hAnsiTheme="minorEastAsia" w:hint="eastAsia"/>
          <w:sz w:val="21"/>
          <w:szCs w:val="21"/>
        </w:rPr>
        <w:t>[J].</w:t>
      </w:r>
      <w:r>
        <w:rPr>
          <w:rFonts w:asciiTheme="minorEastAsia" w:hAnsiTheme="minorEastAsia" w:hint="eastAsia"/>
          <w:sz w:val="21"/>
          <w:szCs w:val="21"/>
        </w:rPr>
        <w:t>研究与发展管理</w:t>
      </w:r>
      <w:r>
        <w:rPr>
          <w:rFonts w:asciiTheme="minorEastAsia" w:hAnsiTheme="minorEastAsia" w:hint="eastAsia"/>
          <w:sz w:val="21"/>
          <w:szCs w:val="21"/>
        </w:rPr>
        <w:t>,2010(03):44-50.</w:t>
      </w:r>
    </w:p>
    <w:p w:rsidR="00950AD5" w:rsidRDefault="006F3A42">
      <w:pPr>
        <w:rPr>
          <w:rFonts w:asciiTheme="minorEastAsia" w:hAnsiTheme="minorEastAsia"/>
          <w:sz w:val="21"/>
          <w:szCs w:val="21"/>
        </w:rPr>
      </w:pPr>
      <w:r>
        <w:rPr>
          <w:rFonts w:asciiTheme="minorEastAsia" w:hAnsiTheme="minorEastAsia" w:hint="eastAsia"/>
          <w:sz w:val="21"/>
          <w:szCs w:val="21"/>
        </w:rPr>
        <w:t>[9]</w:t>
      </w:r>
      <w:r>
        <w:rPr>
          <w:rFonts w:asciiTheme="minorEastAsia" w:hAnsiTheme="minorEastAsia" w:hint="eastAsia"/>
          <w:sz w:val="21"/>
          <w:szCs w:val="21"/>
        </w:rPr>
        <w:t>冯根福</w:t>
      </w:r>
      <w:r>
        <w:rPr>
          <w:rFonts w:asciiTheme="minorEastAsia" w:hAnsiTheme="minorEastAsia" w:hint="eastAsia"/>
          <w:sz w:val="21"/>
          <w:szCs w:val="21"/>
        </w:rPr>
        <w:t>,</w:t>
      </w:r>
      <w:r>
        <w:rPr>
          <w:rFonts w:asciiTheme="minorEastAsia" w:hAnsiTheme="minorEastAsia" w:hint="eastAsia"/>
          <w:sz w:val="21"/>
          <w:szCs w:val="21"/>
        </w:rPr>
        <w:t>丁国荣</w:t>
      </w:r>
      <w:r>
        <w:rPr>
          <w:rFonts w:asciiTheme="minorEastAsia" w:hAnsiTheme="minorEastAsia" w:hint="eastAsia"/>
          <w:sz w:val="21"/>
          <w:szCs w:val="21"/>
        </w:rPr>
        <w:t>.</w:t>
      </w:r>
      <w:r>
        <w:rPr>
          <w:rFonts w:asciiTheme="minorEastAsia" w:hAnsiTheme="minorEastAsia" w:hint="eastAsia"/>
          <w:sz w:val="21"/>
          <w:szCs w:val="21"/>
        </w:rPr>
        <w:t>中国证券公司内部治理影响公司经营效率的实证分析</w:t>
      </w:r>
      <w:r>
        <w:rPr>
          <w:rFonts w:asciiTheme="minorEastAsia" w:hAnsiTheme="minorEastAsia" w:hint="eastAsia"/>
          <w:sz w:val="21"/>
          <w:szCs w:val="21"/>
        </w:rPr>
        <w:t>[J].</w:t>
      </w:r>
      <w:r>
        <w:rPr>
          <w:rFonts w:asciiTheme="minorEastAsia" w:hAnsiTheme="minorEastAsia" w:hint="eastAsia"/>
          <w:sz w:val="21"/>
          <w:szCs w:val="21"/>
        </w:rPr>
        <w:t>财经理论与实践</w:t>
      </w:r>
      <w:r>
        <w:rPr>
          <w:rFonts w:asciiTheme="minorEastAsia" w:hAnsiTheme="minorEastAsia" w:hint="eastAsia"/>
          <w:sz w:val="21"/>
          <w:szCs w:val="21"/>
        </w:rPr>
        <w:t>,2011(01)</w:t>
      </w:r>
      <w:r>
        <w:rPr>
          <w:rFonts w:asciiTheme="minorEastAsia" w:hAnsiTheme="minorEastAsia" w:hint="eastAsia"/>
          <w:sz w:val="21"/>
          <w:szCs w:val="21"/>
        </w:rPr>
        <w:t>：</w:t>
      </w:r>
      <w:r>
        <w:rPr>
          <w:rFonts w:asciiTheme="minorEastAsia" w:hAnsiTheme="minorEastAsia" w:hint="eastAsia"/>
          <w:sz w:val="21"/>
          <w:szCs w:val="21"/>
        </w:rPr>
        <w:t>30-36.</w:t>
      </w:r>
    </w:p>
    <w:p w:rsidR="00950AD5" w:rsidRDefault="006F3A42">
      <w:pPr>
        <w:rPr>
          <w:rFonts w:asciiTheme="minorEastAsia" w:hAnsiTheme="minorEastAsia"/>
          <w:sz w:val="21"/>
          <w:szCs w:val="21"/>
        </w:rPr>
      </w:pPr>
      <w:r>
        <w:rPr>
          <w:rFonts w:asciiTheme="minorEastAsia" w:hAnsiTheme="minorEastAsia" w:hint="eastAsia"/>
          <w:sz w:val="21"/>
          <w:szCs w:val="21"/>
        </w:rPr>
        <w:t>[10]</w:t>
      </w:r>
      <w:r>
        <w:rPr>
          <w:rFonts w:asciiTheme="minorEastAsia" w:hAnsiTheme="minorEastAsia" w:hint="eastAsia"/>
          <w:sz w:val="21"/>
          <w:szCs w:val="21"/>
        </w:rPr>
        <w:t>汪来喜</w:t>
      </w:r>
      <w:r>
        <w:rPr>
          <w:rFonts w:asciiTheme="minorEastAsia" w:hAnsiTheme="minorEastAsia" w:hint="eastAsia"/>
          <w:sz w:val="21"/>
          <w:szCs w:val="21"/>
        </w:rPr>
        <w:t>.</w:t>
      </w:r>
      <w:r>
        <w:rPr>
          <w:rFonts w:asciiTheme="minorEastAsia" w:hAnsiTheme="minorEastAsia" w:hint="eastAsia"/>
          <w:sz w:val="21"/>
          <w:szCs w:val="21"/>
        </w:rPr>
        <w:t>证券公司公司治理评价的实证分析</w:t>
      </w:r>
      <w:r>
        <w:rPr>
          <w:rFonts w:asciiTheme="minorEastAsia" w:hAnsiTheme="minorEastAsia" w:hint="eastAsia"/>
          <w:sz w:val="21"/>
          <w:szCs w:val="21"/>
        </w:rPr>
        <w:t>[J].</w:t>
      </w:r>
      <w:r>
        <w:rPr>
          <w:rFonts w:asciiTheme="minorEastAsia" w:hAnsiTheme="minorEastAsia" w:hint="eastAsia"/>
          <w:sz w:val="21"/>
          <w:szCs w:val="21"/>
        </w:rPr>
        <w:t>金融理论与实践</w:t>
      </w:r>
      <w:r>
        <w:rPr>
          <w:rFonts w:asciiTheme="minorEastAsia" w:hAnsiTheme="minorEastAsia" w:hint="eastAsia"/>
          <w:sz w:val="21"/>
          <w:szCs w:val="21"/>
        </w:rPr>
        <w:t>,2011(03):35-37.</w:t>
      </w:r>
    </w:p>
    <w:p w:rsidR="00950AD5" w:rsidRDefault="006F3A42">
      <w:pPr>
        <w:rPr>
          <w:rFonts w:asciiTheme="minorEastAsia" w:hAnsiTheme="minorEastAsia"/>
          <w:sz w:val="21"/>
          <w:szCs w:val="21"/>
        </w:rPr>
      </w:pPr>
      <w:r>
        <w:rPr>
          <w:rFonts w:asciiTheme="minorEastAsia" w:hAnsiTheme="minorEastAsia" w:hint="eastAsia"/>
          <w:sz w:val="21"/>
          <w:szCs w:val="21"/>
        </w:rPr>
        <w:t>[11]</w:t>
      </w:r>
      <w:r>
        <w:rPr>
          <w:rFonts w:asciiTheme="minorEastAsia" w:hAnsiTheme="minorEastAsia" w:hint="eastAsia"/>
          <w:sz w:val="21"/>
          <w:szCs w:val="21"/>
        </w:rPr>
        <w:t>顾亮</w:t>
      </w:r>
      <w:r>
        <w:rPr>
          <w:rFonts w:asciiTheme="minorEastAsia" w:hAnsiTheme="minorEastAsia" w:hint="eastAsia"/>
          <w:sz w:val="21"/>
          <w:szCs w:val="21"/>
        </w:rPr>
        <w:t>,</w:t>
      </w:r>
      <w:r>
        <w:rPr>
          <w:rFonts w:asciiTheme="minorEastAsia" w:hAnsiTheme="minorEastAsia" w:hint="eastAsia"/>
          <w:sz w:val="21"/>
          <w:szCs w:val="21"/>
        </w:rPr>
        <w:t>刘振杰</w:t>
      </w:r>
      <w:r>
        <w:rPr>
          <w:rFonts w:asciiTheme="minorEastAsia" w:hAnsiTheme="minorEastAsia" w:hint="eastAsia"/>
          <w:sz w:val="21"/>
          <w:szCs w:val="21"/>
        </w:rPr>
        <w:t>.</w:t>
      </w:r>
      <w:r>
        <w:rPr>
          <w:rFonts w:asciiTheme="minorEastAsia" w:hAnsiTheme="minorEastAsia" w:hint="eastAsia"/>
          <w:sz w:val="21"/>
          <w:szCs w:val="21"/>
        </w:rPr>
        <w:t>我国上市公司高管背景特征与公司治理违规行为研究</w:t>
      </w:r>
      <w:r>
        <w:rPr>
          <w:rFonts w:asciiTheme="minorEastAsia" w:hAnsiTheme="minorEastAsia" w:hint="eastAsia"/>
          <w:sz w:val="21"/>
          <w:szCs w:val="21"/>
        </w:rPr>
        <w:t>[J].</w:t>
      </w:r>
      <w:r>
        <w:rPr>
          <w:rFonts w:asciiTheme="minorEastAsia" w:hAnsiTheme="minorEastAsia" w:hint="eastAsia"/>
          <w:sz w:val="21"/>
          <w:szCs w:val="21"/>
        </w:rPr>
        <w:t>科学学与科学技术管理</w:t>
      </w:r>
      <w:r>
        <w:rPr>
          <w:rFonts w:asciiTheme="minorEastAsia" w:hAnsiTheme="minorEastAsia" w:hint="eastAsia"/>
          <w:sz w:val="21"/>
          <w:szCs w:val="21"/>
        </w:rPr>
        <w:t>,2013(02):152-164.</w:t>
      </w:r>
    </w:p>
    <w:p w:rsidR="00950AD5" w:rsidRDefault="006F3A42">
      <w:pPr>
        <w:rPr>
          <w:rFonts w:asciiTheme="minorEastAsia" w:hAnsiTheme="minorEastAsia"/>
          <w:sz w:val="21"/>
          <w:szCs w:val="21"/>
        </w:rPr>
      </w:pPr>
      <w:r>
        <w:rPr>
          <w:rFonts w:asciiTheme="minorEastAsia" w:hAnsiTheme="minorEastAsia" w:hint="eastAsia"/>
          <w:sz w:val="21"/>
          <w:szCs w:val="21"/>
        </w:rPr>
        <w:t>[12]</w:t>
      </w:r>
      <w:r>
        <w:rPr>
          <w:rFonts w:asciiTheme="minorEastAsia" w:hAnsiTheme="minorEastAsia" w:hint="eastAsia"/>
          <w:sz w:val="21"/>
          <w:szCs w:val="21"/>
        </w:rPr>
        <w:t>周继军</w:t>
      </w:r>
      <w:r>
        <w:rPr>
          <w:rFonts w:asciiTheme="minorEastAsia" w:hAnsiTheme="minorEastAsia" w:hint="eastAsia"/>
          <w:sz w:val="21"/>
          <w:szCs w:val="21"/>
        </w:rPr>
        <w:t>,</w:t>
      </w:r>
      <w:r>
        <w:rPr>
          <w:rFonts w:asciiTheme="minorEastAsia" w:hAnsiTheme="minorEastAsia" w:hint="eastAsia"/>
          <w:sz w:val="21"/>
          <w:szCs w:val="21"/>
        </w:rPr>
        <w:t>张旺峰</w:t>
      </w:r>
      <w:r>
        <w:rPr>
          <w:rFonts w:asciiTheme="minorEastAsia" w:hAnsiTheme="minorEastAsia" w:hint="eastAsia"/>
          <w:sz w:val="21"/>
          <w:szCs w:val="21"/>
        </w:rPr>
        <w:t>.</w:t>
      </w:r>
      <w:r>
        <w:rPr>
          <w:rFonts w:asciiTheme="minorEastAsia" w:hAnsiTheme="minorEastAsia" w:hint="eastAsia"/>
          <w:sz w:val="21"/>
          <w:szCs w:val="21"/>
        </w:rPr>
        <w:t>内部控制、公司治理与管理者舞弊研究——来自中国上市公司的经验证据</w:t>
      </w:r>
      <w:r>
        <w:rPr>
          <w:rFonts w:asciiTheme="minorEastAsia" w:hAnsiTheme="minorEastAsia" w:hint="eastAsia"/>
          <w:sz w:val="21"/>
          <w:szCs w:val="21"/>
        </w:rPr>
        <w:t>[J].</w:t>
      </w:r>
      <w:r>
        <w:rPr>
          <w:rFonts w:asciiTheme="minorEastAsia" w:hAnsiTheme="minorEastAsia" w:hint="eastAsia"/>
          <w:sz w:val="21"/>
          <w:szCs w:val="21"/>
        </w:rPr>
        <w:t>中国软科学</w:t>
      </w:r>
      <w:r>
        <w:rPr>
          <w:rFonts w:asciiTheme="minorEastAsia" w:hAnsiTheme="minorEastAsia" w:hint="eastAsia"/>
          <w:sz w:val="21"/>
          <w:szCs w:val="21"/>
        </w:rPr>
        <w:t>,2011(08):141-154.</w:t>
      </w:r>
    </w:p>
    <w:p w:rsidR="00950AD5" w:rsidRDefault="006F3A42">
      <w:pPr>
        <w:rPr>
          <w:rFonts w:asciiTheme="minorEastAsia" w:hAnsiTheme="minorEastAsia"/>
          <w:sz w:val="21"/>
          <w:szCs w:val="21"/>
        </w:rPr>
      </w:pPr>
      <w:r>
        <w:rPr>
          <w:rFonts w:asciiTheme="minorEastAsia" w:hAnsiTheme="minorEastAsia" w:hint="eastAsia"/>
          <w:sz w:val="21"/>
          <w:szCs w:val="21"/>
        </w:rPr>
        <w:t>[13]</w:t>
      </w:r>
      <w:r>
        <w:rPr>
          <w:rFonts w:asciiTheme="minorEastAsia" w:hAnsiTheme="minorEastAsia" w:hint="eastAsia"/>
          <w:sz w:val="21"/>
          <w:szCs w:val="21"/>
        </w:rPr>
        <w:t>陈晖丽</w:t>
      </w:r>
      <w:r>
        <w:rPr>
          <w:rFonts w:asciiTheme="minorEastAsia" w:hAnsiTheme="minorEastAsia" w:hint="eastAsia"/>
          <w:sz w:val="21"/>
          <w:szCs w:val="21"/>
        </w:rPr>
        <w:t>,</w:t>
      </w:r>
      <w:r>
        <w:rPr>
          <w:rFonts w:asciiTheme="minorEastAsia" w:hAnsiTheme="minorEastAsia" w:hint="eastAsia"/>
          <w:sz w:val="21"/>
          <w:szCs w:val="21"/>
        </w:rPr>
        <w:t>刘峰</w:t>
      </w:r>
      <w:r>
        <w:rPr>
          <w:rFonts w:asciiTheme="minorEastAsia" w:hAnsiTheme="minorEastAsia" w:hint="eastAsia"/>
          <w:sz w:val="21"/>
          <w:szCs w:val="21"/>
        </w:rPr>
        <w:t>.</w:t>
      </w:r>
      <w:r>
        <w:rPr>
          <w:rFonts w:asciiTheme="minorEastAsia" w:hAnsiTheme="minorEastAsia" w:hint="eastAsia"/>
          <w:sz w:val="21"/>
          <w:szCs w:val="21"/>
        </w:rPr>
        <w:t>融资融券的治理效应研究——基于公司盈余管理的视角</w:t>
      </w:r>
      <w:r>
        <w:rPr>
          <w:rFonts w:asciiTheme="minorEastAsia" w:hAnsiTheme="minorEastAsia" w:hint="eastAsia"/>
          <w:sz w:val="21"/>
          <w:szCs w:val="21"/>
        </w:rPr>
        <w:t>[J].</w:t>
      </w:r>
      <w:r>
        <w:rPr>
          <w:rFonts w:asciiTheme="minorEastAsia" w:hAnsiTheme="minorEastAsia" w:hint="eastAsia"/>
          <w:sz w:val="21"/>
          <w:szCs w:val="21"/>
        </w:rPr>
        <w:t>会计研究</w:t>
      </w:r>
      <w:r>
        <w:rPr>
          <w:rFonts w:asciiTheme="minorEastAsia" w:hAnsiTheme="minorEastAsia" w:hint="eastAsia"/>
          <w:sz w:val="21"/>
          <w:szCs w:val="21"/>
        </w:rPr>
        <w:t>,2014(09):45-52.</w:t>
      </w:r>
    </w:p>
    <w:p w:rsidR="00950AD5" w:rsidRDefault="006F3A42">
      <w:pPr>
        <w:rPr>
          <w:rFonts w:asciiTheme="minorEastAsia" w:hAnsiTheme="minorEastAsia"/>
          <w:sz w:val="21"/>
          <w:szCs w:val="21"/>
        </w:rPr>
      </w:pPr>
      <w:r>
        <w:rPr>
          <w:rFonts w:asciiTheme="minorEastAsia" w:hAnsiTheme="minorEastAsia" w:hint="eastAsia"/>
          <w:sz w:val="21"/>
          <w:szCs w:val="21"/>
        </w:rPr>
        <w:t>[14]</w:t>
      </w:r>
      <w:r>
        <w:rPr>
          <w:rFonts w:asciiTheme="minorEastAsia" w:hAnsiTheme="minorEastAsia" w:hint="eastAsia"/>
          <w:sz w:val="21"/>
          <w:szCs w:val="21"/>
        </w:rPr>
        <w:t>顾亮</w:t>
      </w:r>
      <w:r>
        <w:rPr>
          <w:rFonts w:asciiTheme="minorEastAsia" w:hAnsiTheme="minorEastAsia" w:hint="eastAsia"/>
          <w:sz w:val="21"/>
          <w:szCs w:val="21"/>
        </w:rPr>
        <w:t>,</w:t>
      </w:r>
      <w:r>
        <w:rPr>
          <w:rFonts w:asciiTheme="minorEastAsia" w:hAnsiTheme="minorEastAsia" w:hint="eastAsia"/>
          <w:sz w:val="21"/>
          <w:szCs w:val="21"/>
        </w:rPr>
        <w:t>刘振杰</w:t>
      </w:r>
      <w:r>
        <w:rPr>
          <w:rFonts w:asciiTheme="minorEastAsia" w:hAnsiTheme="minorEastAsia" w:hint="eastAsia"/>
          <w:sz w:val="21"/>
          <w:szCs w:val="21"/>
        </w:rPr>
        <w:t>.</w:t>
      </w:r>
      <w:r>
        <w:rPr>
          <w:rFonts w:asciiTheme="minorEastAsia" w:hAnsiTheme="minorEastAsia" w:hint="eastAsia"/>
          <w:sz w:val="21"/>
          <w:szCs w:val="21"/>
        </w:rPr>
        <w:t>我国上市公司高管背景特征与公司治理违规行为研究</w:t>
      </w:r>
      <w:r>
        <w:rPr>
          <w:rFonts w:asciiTheme="minorEastAsia" w:hAnsiTheme="minorEastAsia" w:hint="eastAsia"/>
          <w:sz w:val="21"/>
          <w:szCs w:val="21"/>
        </w:rPr>
        <w:t>[J].</w:t>
      </w:r>
      <w:r>
        <w:rPr>
          <w:rFonts w:asciiTheme="minorEastAsia" w:hAnsiTheme="minorEastAsia" w:hint="eastAsia"/>
          <w:sz w:val="21"/>
          <w:szCs w:val="21"/>
        </w:rPr>
        <w:t>科学学与科学技术管理</w:t>
      </w:r>
      <w:r>
        <w:rPr>
          <w:rFonts w:asciiTheme="minorEastAsia" w:hAnsiTheme="minorEastAsia" w:hint="eastAsia"/>
          <w:sz w:val="21"/>
          <w:szCs w:val="21"/>
        </w:rPr>
        <w:t>,2013(02) :152-164.</w:t>
      </w:r>
    </w:p>
    <w:p w:rsidR="00950AD5" w:rsidRDefault="006F3A42">
      <w:pPr>
        <w:rPr>
          <w:rFonts w:asciiTheme="minorEastAsia" w:hAnsiTheme="minorEastAsia"/>
          <w:spacing w:val="-4"/>
          <w:kern w:val="10"/>
          <w:sz w:val="21"/>
          <w:szCs w:val="21"/>
        </w:rPr>
      </w:pPr>
      <w:r>
        <w:rPr>
          <w:rFonts w:asciiTheme="minorEastAsia" w:hAnsiTheme="minorEastAsia" w:hint="eastAsia"/>
          <w:spacing w:val="-4"/>
          <w:kern w:val="10"/>
          <w:sz w:val="21"/>
          <w:szCs w:val="21"/>
        </w:rPr>
        <w:t>[15]</w:t>
      </w:r>
      <w:r>
        <w:rPr>
          <w:rFonts w:asciiTheme="minorEastAsia" w:hAnsiTheme="minorEastAsia" w:hint="eastAsia"/>
          <w:spacing w:val="-4"/>
          <w:kern w:val="10"/>
          <w:sz w:val="21"/>
          <w:szCs w:val="21"/>
        </w:rPr>
        <w:t>李培功</w:t>
      </w:r>
      <w:r>
        <w:rPr>
          <w:rFonts w:asciiTheme="minorEastAsia" w:hAnsiTheme="minorEastAsia" w:hint="eastAsia"/>
          <w:spacing w:val="-4"/>
          <w:kern w:val="10"/>
          <w:sz w:val="21"/>
          <w:szCs w:val="21"/>
        </w:rPr>
        <w:t>,</w:t>
      </w:r>
      <w:r>
        <w:rPr>
          <w:rFonts w:asciiTheme="minorEastAsia" w:hAnsiTheme="minorEastAsia" w:hint="eastAsia"/>
          <w:spacing w:val="-4"/>
          <w:kern w:val="10"/>
          <w:sz w:val="21"/>
          <w:szCs w:val="21"/>
        </w:rPr>
        <w:t>徐淑美</w:t>
      </w:r>
      <w:r>
        <w:rPr>
          <w:rFonts w:asciiTheme="minorEastAsia" w:hAnsiTheme="minorEastAsia" w:hint="eastAsia"/>
          <w:spacing w:val="-4"/>
          <w:kern w:val="10"/>
          <w:sz w:val="21"/>
          <w:szCs w:val="21"/>
        </w:rPr>
        <w:t>.</w:t>
      </w:r>
      <w:r>
        <w:rPr>
          <w:rFonts w:asciiTheme="minorEastAsia" w:hAnsiTheme="minorEastAsia" w:hint="eastAsia"/>
          <w:spacing w:val="-4"/>
          <w:kern w:val="10"/>
          <w:sz w:val="21"/>
          <w:szCs w:val="21"/>
        </w:rPr>
        <w:t>媒体的公司治理作用——共识与分歧</w:t>
      </w:r>
      <w:r>
        <w:rPr>
          <w:rFonts w:asciiTheme="minorEastAsia" w:hAnsiTheme="minorEastAsia" w:hint="eastAsia"/>
          <w:spacing w:val="-4"/>
          <w:kern w:val="10"/>
          <w:sz w:val="21"/>
          <w:szCs w:val="21"/>
        </w:rPr>
        <w:t>[J].</w:t>
      </w:r>
      <w:r>
        <w:rPr>
          <w:rFonts w:asciiTheme="minorEastAsia" w:hAnsiTheme="minorEastAsia" w:hint="eastAsia"/>
          <w:spacing w:val="-4"/>
          <w:kern w:val="10"/>
          <w:sz w:val="21"/>
          <w:szCs w:val="21"/>
        </w:rPr>
        <w:t>金融研究</w:t>
      </w:r>
      <w:r>
        <w:rPr>
          <w:rFonts w:asciiTheme="minorEastAsia" w:hAnsiTheme="minorEastAsia" w:hint="eastAsia"/>
          <w:spacing w:val="-4"/>
          <w:kern w:val="10"/>
          <w:sz w:val="21"/>
          <w:szCs w:val="21"/>
        </w:rPr>
        <w:t>,2013(04):196-206.</w:t>
      </w:r>
    </w:p>
    <w:p w:rsidR="00950AD5" w:rsidRDefault="006F3A42">
      <w:pPr>
        <w:rPr>
          <w:rFonts w:asciiTheme="minorEastAsia" w:hAnsiTheme="minorEastAsia"/>
          <w:sz w:val="21"/>
          <w:szCs w:val="21"/>
        </w:rPr>
      </w:pPr>
      <w:r>
        <w:rPr>
          <w:rFonts w:asciiTheme="minorEastAsia" w:hAnsiTheme="minorEastAsia" w:hint="eastAsia"/>
          <w:sz w:val="21"/>
          <w:szCs w:val="21"/>
        </w:rPr>
        <w:t>[16]</w:t>
      </w:r>
      <w:r>
        <w:rPr>
          <w:rFonts w:asciiTheme="minorEastAsia" w:hAnsiTheme="minorEastAsia" w:hint="eastAsia"/>
          <w:sz w:val="21"/>
          <w:szCs w:val="21"/>
        </w:rPr>
        <w:t>于晓强</w:t>
      </w:r>
      <w:r>
        <w:rPr>
          <w:rFonts w:asciiTheme="minorEastAsia" w:hAnsiTheme="minorEastAsia" w:hint="eastAsia"/>
          <w:sz w:val="21"/>
          <w:szCs w:val="21"/>
        </w:rPr>
        <w:t>,</w:t>
      </w:r>
      <w:r>
        <w:rPr>
          <w:rFonts w:asciiTheme="minorEastAsia" w:hAnsiTheme="minorEastAsia" w:hint="eastAsia"/>
          <w:sz w:val="21"/>
          <w:szCs w:val="21"/>
        </w:rPr>
        <w:t>刘善存</w:t>
      </w:r>
      <w:r>
        <w:rPr>
          <w:rFonts w:asciiTheme="minorEastAsia" w:hAnsiTheme="minorEastAsia" w:hint="eastAsia"/>
          <w:sz w:val="21"/>
          <w:szCs w:val="21"/>
        </w:rPr>
        <w:t>.</w:t>
      </w:r>
      <w:r>
        <w:rPr>
          <w:rFonts w:asciiTheme="minorEastAsia" w:hAnsiTheme="minorEastAsia" w:hint="eastAsia"/>
          <w:sz w:val="21"/>
          <w:szCs w:val="21"/>
        </w:rPr>
        <w:t>治理结构与信息披露违规行为——来自我国</w:t>
      </w:r>
      <w:r>
        <w:rPr>
          <w:rFonts w:asciiTheme="minorEastAsia" w:hAnsiTheme="minorEastAsia" w:hint="eastAsia"/>
          <w:sz w:val="21"/>
          <w:szCs w:val="21"/>
        </w:rPr>
        <w:t>A</w:t>
      </w:r>
      <w:r>
        <w:rPr>
          <w:rFonts w:asciiTheme="minorEastAsia" w:hAnsiTheme="minorEastAsia" w:hint="eastAsia"/>
          <w:sz w:val="21"/>
          <w:szCs w:val="21"/>
        </w:rPr>
        <w:t>股上市公司的经验证据</w:t>
      </w:r>
      <w:r>
        <w:rPr>
          <w:rFonts w:asciiTheme="minorEastAsia" w:hAnsiTheme="minorEastAsia" w:hint="eastAsia"/>
          <w:sz w:val="21"/>
          <w:szCs w:val="21"/>
        </w:rPr>
        <w:t>[J].</w:t>
      </w:r>
      <w:r>
        <w:rPr>
          <w:rFonts w:asciiTheme="minorEastAsia" w:hAnsiTheme="minorEastAsia" w:hint="eastAsia"/>
          <w:sz w:val="21"/>
          <w:szCs w:val="21"/>
        </w:rPr>
        <w:t>系统工程</w:t>
      </w:r>
      <w:r>
        <w:rPr>
          <w:rFonts w:asciiTheme="minorEastAsia" w:hAnsiTheme="minorEastAsia" w:hint="eastAsia"/>
          <w:sz w:val="21"/>
          <w:szCs w:val="21"/>
        </w:rPr>
        <w:t>,2012(06)</w:t>
      </w:r>
      <w:r>
        <w:rPr>
          <w:rFonts w:asciiTheme="minorEastAsia" w:hAnsiTheme="minorEastAsia" w:hint="eastAsia"/>
          <w:sz w:val="21"/>
          <w:szCs w:val="21"/>
        </w:rPr>
        <w:t>：</w:t>
      </w:r>
      <w:r>
        <w:rPr>
          <w:rFonts w:asciiTheme="minorEastAsia" w:hAnsiTheme="minorEastAsia" w:hint="eastAsia"/>
          <w:sz w:val="21"/>
          <w:szCs w:val="21"/>
        </w:rPr>
        <w:t>43-52.</w:t>
      </w:r>
    </w:p>
    <w:p w:rsidR="00950AD5" w:rsidRDefault="006F3A42">
      <w:pPr>
        <w:rPr>
          <w:rFonts w:asciiTheme="minorEastAsia" w:hAnsiTheme="minorEastAsia"/>
          <w:sz w:val="21"/>
          <w:szCs w:val="21"/>
        </w:rPr>
      </w:pPr>
      <w:r>
        <w:rPr>
          <w:rFonts w:asciiTheme="minorEastAsia" w:hAnsiTheme="minorEastAsia" w:hint="eastAsia"/>
          <w:sz w:val="21"/>
          <w:szCs w:val="21"/>
        </w:rPr>
        <w:t>[17]</w:t>
      </w:r>
      <w:r>
        <w:rPr>
          <w:rFonts w:asciiTheme="minorEastAsia" w:hAnsiTheme="minorEastAsia" w:hint="eastAsia"/>
          <w:sz w:val="21"/>
          <w:szCs w:val="21"/>
        </w:rPr>
        <w:t>郑建明</w:t>
      </w:r>
      <w:r>
        <w:rPr>
          <w:rFonts w:asciiTheme="minorEastAsia" w:hAnsiTheme="minorEastAsia" w:hint="eastAsia"/>
          <w:sz w:val="21"/>
          <w:szCs w:val="21"/>
        </w:rPr>
        <w:t>,</w:t>
      </w:r>
      <w:r>
        <w:rPr>
          <w:rFonts w:asciiTheme="minorEastAsia" w:hAnsiTheme="minorEastAsia" w:hint="eastAsia"/>
          <w:sz w:val="21"/>
          <w:szCs w:val="21"/>
        </w:rPr>
        <w:t>黄晓蓓</w:t>
      </w:r>
      <w:r>
        <w:rPr>
          <w:rFonts w:asciiTheme="minorEastAsia" w:hAnsiTheme="minorEastAsia" w:hint="eastAsia"/>
          <w:sz w:val="21"/>
          <w:szCs w:val="21"/>
        </w:rPr>
        <w:t>,</w:t>
      </w:r>
      <w:r>
        <w:rPr>
          <w:rFonts w:asciiTheme="minorEastAsia" w:hAnsiTheme="minorEastAsia" w:hint="eastAsia"/>
          <w:sz w:val="21"/>
          <w:szCs w:val="21"/>
        </w:rPr>
        <w:t>张新民</w:t>
      </w:r>
      <w:r>
        <w:rPr>
          <w:rFonts w:asciiTheme="minorEastAsia" w:hAnsiTheme="minorEastAsia" w:hint="eastAsia"/>
          <w:sz w:val="21"/>
          <w:szCs w:val="21"/>
        </w:rPr>
        <w:t>.</w:t>
      </w:r>
      <w:r>
        <w:rPr>
          <w:rFonts w:asciiTheme="minorEastAsia" w:hAnsiTheme="minorEastAsia" w:hint="eastAsia"/>
          <w:sz w:val="21"/>
          <w:szCs w:val="21"/>
        </w:rPr>
        <w:t>管理层业绩预告违规与分析师监管</w:t>
      </w:r>
      <w:r>
        <w:rPr>
          <w:rFonts w:asciiTheme="minorEastAsia" w:hAnsiTheme="minorEastAsia" w:hint="eastAsia"/>
          <w:sz w:val="21"/>
          <w:szCs w:val="21"/>
        </w:rPr>
        <w:t>[J].</w:t>
      </w:r>
      <w:r>
        <w:rPr>
          <w:rFonts w:asciiTheme="minorEastAsia" w:hAnsiTheme="minorEastAsia" w:hint="eastAsia"/>
          <w:sz w:val="21"/>
          <w:szCs w:val="21"/>
        </w:rPr>
        <w:t>会计研究</w:t>
      </w:r>
      <w:r>
        <w:rPr>
          <w:rFonts w:asciiTheme="minorEastAsia" w:hAnsiTheme="minorEastAsia" w:hint="eastAsia"/>
          <w:sz w:val="21"/>
          <w:szCs w:val="21"/>
        </w:rPr>
        <w:t>,2015(03):50-56.</w:t>
      </w:r>
    </w:p>
    <w:p w:rsidR="00950AD5" w:rsidRDefault="006F3A42">
      <w:pPr>
        <w:rPr>
          <w:rFonts w:asciiTheme="minorEastAsia" w:hAnsiTheme="minorEastAsia"/>
          <w:sz w:val="21"/>
          <w:szCs w:val="21"/>
        </w:rPr>
      </w:pPr>
      <w:r>
        <w:rPr>
          <w:rFonts w:asciiTheme="minorEastAsia" w:hAnsiTheme="minorEastAsia" w:hint="eastAsia"/>
          <w:sz w:val="21"/>
          <w:szCs w:val="21"/>
        </w:rPr>
        <w:t>[18]</w:t>
      </w:r>
      <w:r>
        <w:rPr>
          <w:rFonts w:asciiTheme="minorEastAsia" w:hAnsiTheme="minorEastAsia" w:hint="eastAsia"/>
          <w:sz w:val="21"/>
          <w:szCs w:val="21"/>
        </w:rPr>
        <w:t>周建</w:t>
      </w:r>
      <w:r>
        <w:rPr>
          <w:rFonts w:asciiTheme="minorEastAsia" w:hAnsiTheme="minorEastAsia" w:hint="eastAsia"/>
          <w:sz w:val="21"/>
          <w:szCs w:val="21"/>
        </w:rPr>
        <w:t>,</w:t>
      </w:r>
      <w:r>
        <w:rPr>
          <w:rFonts w:asciiTheme="minorEastAsia" w:hAnsiTheme="minorEastAsia" w:hint="eastAsia"/>
          <w:sz w:val="21"/>
          <w:szCs w:val="21"/>
        </w:rPr>
        <w:t>方刚</w:t>
      </w:r>
      <w:r>
        <w:rPr>
          <w:rFonts w:asciiTheme="minorEastAsia" w:hAnsiTheme="minorEastAsia" w:hint="eastAsia"/>
          <w:sz w:val="21"/>
          <w:szCs w:val="21"/>
        </w:rPr>
        <w:t>,</w:t>
      </w:r>
      <w:r>
        <w:rPr>
          <w:rFonts w:asciiTheme="minorEastAsia" w:hAnsiTheme="minorEastAsia" w:hint="eastAsia"/>
          <w:sz w:val="21"/>
          <w:szCs w:val="21"/>
        </w:rPr>
        <w:t>刘小元</w:t>
      </w:r>
      <w:r>
        <w:rPr>
          <w:rFonts w:asciiTheme="minorEastAsia" w:hAnsiTheme="minorEastAsia" w:hint="eastAsia"/>
          <w:sz w:val="21"/>
          <w:szCs w:val="21"/>
        </w:rPr>
        <w:t>.</w:t>
      </w:r>
      <w:r>
        <w:rPr>
          <w:rFonts w:asciiTheme="minorEastAsia" w:hAnsiTheme="minorEastAsia" w:hint="eastAsia"/>
          <w:sz w:val="21"/>
          <w:szCs w:val="21"/>
        </w:rPr>
        <w:t>外部</w:t>
      </w:r>
      <w:r>
        <w:rPr>
          <w:rFonts w:asciiTheme="minorEastAsia" w:hAnsiTheme="minorEastAsia" w:hint="eastAsia"/>
          <w:sz w:val="21"/>
          <w:szCs w:val="21"/>
        </w:rPr>
        <w:t>制度环境、内部治理结构与企业竞争优势——基于中国上市公司的经验证据</w:t>
      </w:r>
      <w:r>
        <w:rPr>
          <w:rFonts w:asciiTheme="minorEastAsia" w:hAnsiTheme="minorEastAsia" w:hint="eastAsia"/>
          <w:sz w:val="21"/>
          <w:szCs w:val="21"/>
        </w:rPr>
        <w:t>[J].</w:t>
      </w:r>
      <w:r>
        <w:rPr>
          <w:rFonts w:asciiTheme="minorEastAsia" w:hAnsiTheme="minorEastAsia" w:hint="eastAsia"/>
          <w:sz w:val="21"/>
          <w:szCs w:val="21"/>
        </w:rPr>
        <w:t>管理学报</w:t>
      </w:r>
      <w:r>
        <w:rPr>
          <w:rFonts w:asciiTheme="minorEastAsia" w:hAnsiTheme="minorEastAsia" w:hint="eastAsia"/>
          <w:sz w:val="21"/>
          <w:szCs w:val="21"/>
        </w:rPr>
        <w:t>,2010(07)</w:t>
      </w:r>
      <w:r>
        <w:rPr>
          <w:rFonts w:asciiTheme="minorEastAsia" w:hAnsiTheme="minorEastAsia" w:hint="eastAsia"/>
          <w:sz w:val="21"/>
          <w:szCs w:val="21"/>
        </w:rPr>
        <w:t>：</w:t>
      </w:r>
      <w:r>
        <w:rPr>
          <w:rFonts w:asciiTheme="minorEastAsia" w:hAnsiTheme="minorEastAsia" w:hint="eastAsia"/>
          <w:sz w:val="21"/>
          <w:szCs w:val="21"/>
        </w:rPr>
        <w:t>963-971.</w:t>
      </w:r>
    </w:p>
    <w:p w:rsidR="00950AD5" w:rsidRDefault="00950AD5">
      <w:pPr>
        <w:rPr>
          <w:rFonts w:asciiTheme="minorEastAsia" w:hAnsiTheme="minorEastAsia"/>
          <w:sz w:val="21"/>
          <w:szCs w:val="21"/>
        </w:rPr>
      </w:pPr>
    </w:p>
    <w:p w:rsidR="00950AD5" w:rsidRDefault="00950AD5">
      <w:pPr>
        <w:ind w:firstLineChars="200" w:firstLine="420"/>
        <w:rPr>
          <w:rFonts w:asciiTheme="minorEastAsia" w:hAnsiTheme="minorEastAsia"/>
          <w:sz w:val="21"/>
          <w:szCs w:val="21"/>
        </w:rPr>
      </w:pPr>
    </w:p>
    <w:sectPr w:rsidR="00950AD5" w:rsidSect="00950AD5">
      <w:footerReference w:type="default" r:id="rId12"/>
      <w:headerReference w:type="first" r:id="rId13"/>
      <w:footerReference w:type="first" r:id="rId14"/>
      <w:pgSz w:w="11906" w:h="16838"/>
      <w:pgMar w:top="1440" w:right="1800" w:bottom="1440" w:left="1800" w:header="851" w:footer="992"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A42" w:rsidRDefault="006F3A42" w:rsidP="00950AD5">
      <w:r>
        <w:separator/>
      </w:r>
    </w:p>
  </w:endnote>
  <w:endnote w:type="continuationSeparator" w:id="0">
    <w:p w:rsidR="006F3A42" w:rsidRDefault="006F3A42" w:rsidP="00950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altName w:val="微软雅黑"/>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5" w:rsidRDefault="00950AD5">
    <w:pPr>
      <w:pStyle w:val="a4"/>
      <w:ind w:right="180"/>
      <w:jc w:val="right"/>
    </w:pPr>
  </w:p>
  <w:p w:rsidR="00950AD5" w:rsidRDefault="00950A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5" w:rsidRDefault="006F3A42">
    <w:pPr>
      <w:pStyle w:val="a4"/>
      <w:ind w:firstLineChars="200" w:firstLine="360"/>
      <w:rPr>
        <w:color w:val="FF0000"/>
      </w:rPr>
    </w:pPr>
    <w:r>
      <w:rPr>
        <w:rFonts w:hint="eastAsia"/>
      </w:rPr>
      <w:t>基金项目：教育部人文社会科学重点研究基地重大项目“基金治理和基民利益保护研究”</w:t>
    </w:r>
    <w:r>
      <w:rPr>
        <w:rFonts w:hint="eastAsia"/>
      </w:rPr>
      <w:t xml:space="preserve"> (14JJD630007) </w:t>
    </w:r>
    <w:r>
      <w:rPr>
        <w:rFonts w:hint="eastAsia"/>
      </w:rPr>
      <w:t>；国家自然科学基金重点项目“我国集团企业跨国治理与评价研究”</w:t>
    </w:r>
    <w:r>
      <w:rPr>
        <w:rFonts w:hint="eastAsia"/>
      </w:rPr>
      <w:t xml:space="preserve"> (71132001).    </w:t>
    </w:r>
  </w:p>
  <w:p w:rsidR="00950AD5" w:rsidRDefault="006F3A42">
    <w:pPr>
      <w:pStyle w:val="a4"/>
      <w:ind w:firstLineChars="200" w:firstLine="360"/>
    </w:pPr>
    <w:r>
      <w:rPr>
        <w:rFonts w:hint="eastAsia"/>
      </w:rPr>
      <w:t>作者简介：齐岳（</w:t>
    </w:r>
    <w:r>
      <w:rPr>
        <w:rFonts w:hint="eastAsia"/>
      </w:rPr>
      <w:t>1970-</w:t>
    </w:r>
    <w:r>
      <w:rPr>
        <w:rFonts w:hint="eastAsia"/>
      </w:rPr>
      <w:t>），男，天津市人，南开大学</w:t>
    </w:r>
    <w:r>
      <w:rPr>
        <w:rFonts w:hint="eastAsia"/>
      </w:rPr>
      <w:t>商学院教授、博士生导师，中国公司治理研究院企业社会责任研究室主任、南开大学商学院财务管理系副主任、《南开管理评论》国际版副主编，美国佐治亚大学博士学位，研究方向为投资组合、公司治理、基金管理、企业社会责任等研究；刘彤阳（</w:t>
    </w:r>
    <w:r>
      <w:rPr>
        <w:rFonts w:hint="eastAsia"/>
      </w:rPr>
      <w:t>1994-</w:t>
    </w:r>
    <w:r>
      <w:rPr>
        <w:rFonts w:hint="eastAsia"/>
      </w:rPr>
      <w:t>），通讯作者，内蒙古包头市人，南开大学商学院本科生在读，研究方向为投资组合、基金管理；郭怡群（</w:t>
    </w:r>
    <w:r>
      <w:rPr>
        <w:rFonts w:hint="eastAsia"/>
      </w:rPr>
      <w:t>1995-</w:t>
    </w:r>
    <w:r>
      <w:rPr>
        <w:rFonts w:hint="eastAsia"/>
      </w:rPr>
      <w:t>），辽宁鞍山人，南开大学商学院本科生在读，研究方向为投资组合、基金管理</w:t>
    </w:r>
    <w:r>
      <w:rPr>
        <w:rFonts w:hint="eastAsia"/>
      </w:rPr>
      <w:t>.</w:t>
    </w:r>
  </w:p>
  <w:p w:rsidR="00950AD5" w:rsidRDefault="00950A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A42" w:rsidRDefault="006F3A42" w:rsidP="00950AD5">
      <w:r>
        <w:separator/>
      </w:r>
    </w:p>
  </w:footnote>
  <w:footnote w:type="continuationSeparator" w:id="0">
    <w:p w:rsidR="006F3A42" w:rsidRDefault="006F3A42" w:rsidP="00950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5" w:rsidRDefault="00950AD5">
    <w:pPr>
      <w:pStyle w:val="a5"/>
      <w:jc w:val="both"/>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F3E4C"/>
    <w:multiLevelType w:val="multilevel"/>
    <w:tmpl w:val="3BBF3E4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7786F"/>
    <w:rsid w:val="00000E41"/>
    <w:rsid w:val="0000170A"/>
    <w:rsid w:val="0001260D"/>
    <w:rsid w:val="00016BCE"/>
    <w:rsid w:val="00024B61"/>
    <w:rsid w:val="00025DDF"/>
    <w:rsid w:val="0003479F"/>
    <w:rsid w:val="00040BA1"/>
    <w:rsid w:val="000752C5"/>
    <w:rsid w:val="00081C73"/>
    <w:rsid w:val="000C43EF"/>
    <w:rsid w:val="000E1988"/>
    <w:rsid w:val="000E27F6"/>
    <w:rsid w:val="000F40A6"/>
    <w:rsid w:val="00140F15"/>
    <w:rsid w:val="001440D3"/>
    <w:rsid w:val="00183A9E"/>
    <w:rsid w:val="00183FD4"/>
    <w:rsid w:val="00187474"/>
    <w:rsid w:val="001914D8"/>
    <w:rsid w:val="001A007F"/>
    <w:rsid w:val="001A0445"/>
    <w:rsid w:val="001B4DA9"/>
    <w:rsid w:val="001B6BA2"/>
    <w:rsid w:val="001B6FDB"/>
    <w:rsid w:val="001D0356"/>
    <w:rsid w:val="001D2A46"/>
    <w:rsid w:val="001D31D8"/>
    <w:rsid w:val="001E2B43"/>
    <w:rsid w:val="001E6FCF"/>
    <w:rsid w:val="001F39F3"/>
    <w:rsid w:val="001F790C"/>
    <w:rsid w:val="00205E2C"/>
    <w:rsid w:val="002178EE"/>
    <w:rsid w:val="002252FA"/>
    <w:rsid w:val="002261A8"/>
    <w:rsid w:val="00227AB9"/>
    <w:rsid w:val="0023273F"/>
    <w:rsid w:val="002354D8"/>
    <w:rsid w:val="002546CF"/>
    <w:rsid w:val="0025649E"/>
    <w:rsid w:val="00264337"/>
    <w:rsid w:val="00265404"/>
    <w:rsid w:val="0027302B"/>
    <w:rsid w:val="002821AC"/>
    <w:rsid w:val="00287A81"/>
    <w:rsid w:val="00297F9C"/>
    <w:rsid w:val="002A1B84"/>
    <w:rsid w:val="002A4190"/>
    <w:rsid w:val="002B0939"/>
    <w:rsid w:val="002D2A05"/>
    <w:rsid w:val="002F123E"/>
    <w:rsid w:val="002F6EA9"/>
    <w:rsid w:val="00303C48"/>
    <w:rsid w:val="00313977"/>
    <w:rsid w:val="00324D0A"/>
    <w:rsid w:val="00336348"/>
    <w:rsid w:val="0034004C"/>
    <w:rsid w:val="003557E3"/>
    <w:rsid w:val="00360196"/>
    <w:rsid w:val="003618C3"/>
    <w:rsid w:val="00364238"/>
    <w:rsid w:val="00372D58"/>
    <w:rsid w:val="00381971"/>
    <w:rsid w:val="003864C7"/>
    <w:rsid w:val="00386E55"/>
    <w:rsid w:val="003A441F"/>
    <w:rsid w:val="003C5683"/>
    <w:rsid w:val="003D486C"/>
    <w:rsid w:val="003E4B2F"/>
    <w:rsid w:val="003E666F"/>
    <w:rsid w:val="003F3FFB"/>
    <w:rsid w:val="003F6348"/>
    <w:rsid w:val="003F64F0"/>
    <w:rsid w:val="003F6586"/>
    <w:rsid w:val="003F71C3"/>
    <w:rsid w:val="00403E09"/>
    <w:rsid w:val="00407EDC"/>
    <w:rsid w:val="00411FA0"/>
    <w:rsid w:val="00412A89"/>
    <w:rsid w:val="004238DC"/>
    <w:rsid w:val="00431C69"/>
    <w:rsid w:val="0043668F"/>
    <w:rsid w:val="00440C8F"/>
    <w:rsid w:val="004523F0"/>
    <w:rsid w:val="0045304F"/>
    <w:rsid w:val="004571A1"/>
    <w:rsid w:val="00472F0E"/>
    <w:rsid w:val="004A3789"/>
    <w:rsid w:val="004B0CB7"/>
    <w:rsid w:val="004B164E"/>
    <w:rsid w:val="004C4874"/>
    <w:rsid w:val="004D074F"/>
    <w:rsid w:val="004D509C"/>
    <w:rsid w:val="004E3EEE"/>
    <w:rsid w:val="005079A5"/>
    <w:rsid w:val="00510D93"/>
    <w:rsid w:val="00522252"/>
    <w:rsid w:val="00523DCB"/>
    <w:rsid w:val="00536890"/>
    <w:rsid w:val="005456EC"/>
    <w:rsid w:val="00554124"/>
    <w:rsid w:val="00572254"/>
    <w:rsid w:val="00572A1B"/>
    <w:rsid w:val="00574A9C"/>
    <w:rsid w:val="00574F2F"/>
    <w:rsid w:val="005805AD"/>
    <w:rsid w:val="005A0AA2"/>
    <w:rsid w:val="005A1603"/>
    <w:rsid w:val="005D1372"/>
    <w:rsid w:val="005D42DF"/>
    <w:rsid w:val="005E74F8"/>
    <w:rsid w:val="005F2583"/>
    <w:rsid w:val="005F745E"/>
    <w:rsid w:val="00613B1D"/>
    <w:rsid w:val="00622FFD"/>
    <w:rsid w:val="0063387B"/>
    <w:rsid w:val="00643470"/>
    <w:rsid w:val="00650E18"/>
    <w:rsid w:val="006634C9"/>
    <w:rsid w:val="00670BEB"/>
    <w:rsid w:val="0068101C"/>
    <w:rsid w:val="006B5297"/>
    <w:rsid w:val="006D42D5"/>
    <w:rsid w:val="006F3A42"/>
    <w:rsid w:val="006F4BD5"/>
    <w:rsid w:val="00707E17"/>
    <w:rsid w:val="007169F9"/>
    <w:rsid w:val="00734CE8"/>
    <w:rsid w:val="0074125A"/>
    <w:rsid w:val="00743059"/>
    <w:rsid w:val="0075091E"/>
    <w:rsid w:val="0075243D"/>
    <w:rsid w:val="00762D21"/>
    <w:rsid w:val="0077727F"/>
    <w:rsid w:val="00797C38"/>
    <w:rsid w:val="007A7E72"/>
    <w:rsid w:val="007C28EE"/>
    <w:rsid w:val="007C48B0"/>
    <w:rsid w:val="007C4966"/>
    <w:rsid w:val="007C4B24"/>
    <w:rsid w:val="007D48CE"/>
    <w:rsid w:val="007D7A09"/>
    <w:rsid w:val="007E2E79"/>
    <w:rsid w:val="007E73FC"/>
    <w:rsid w:val="00805F2A"/>
    <w:rsid w:val="00813618"/>
    <w:rsid w:val="0082333C"/>
    <w:rsid w:val="0083031A"/>
    <w:rsid w:val="0084327F"/>
    <w:rsid w:val="00844953"/>
    <w:rsid w:val="00846D43"/>
    <w:rsid w:val="00847293"/>
    <w:rsid w:val="008500BD"/>
    <w:rsid w:val="00864242"/>
    <w:rsid w:val="008749A5"/>
    <w:rsid w:val="008A58DC"/>
    <w:rsid w:val="008B5258"/>
    <w:rsid w:val="008C08D1"/>
    <w:rsid w:val="008C181B"/>
    <w:rsid w:val="008D1929"/>
    <w:rsid w:val="008D6AA7"/>
    <w:rsid w:val="008D7A95"/>
    <w:rsid w:val="0090226C"/>
    <w:rsid w:val="009148B1"/>
    <w:rsid w:val="0092647E"/>
    <w:rsid w:val="00932545"/>
    <w:rsid w:val="00940B13"/>
    <w:rsid w:val="00943265"/>
    <w:rsid w:val="00950AD5"/>
    <w:rsid w:val="00984415"/>
    <w:rsid w:val="009977B5"/>
    <w:rsid w:val="009A4D8E"/>
    <w:rsid w:val="009C37CC"/>
    <w:rsid w:val="009D1C39"/>
    <w:rsid w:val="009E10E4"/>
    <w:rsid w:val="009F3D5C"/>
    <w:rsid w:val="009F767E"/>
    <w:rsid w:val="00A02554"/>
    <w:rsid w:val="00A03C0D"/>
    <w:rsid w:val="00A16F9D"/>
    <w:rsid w:val="00A200A3"/>
    <w:rsid w:val="00A226D8"/>
    <w:rsid w:val="00A40244"/>
    <w:rsid w:val="00A41F17"/>
    <w:rsid w:val="00A55E17"/>
    <w:rsid w:val="00A669DD"/>
    <w:rsid w:val="00A82454"/>
    <w:rsid w:val="00A8331B"/>
    <w:rsid w:val="00A83A85"/>
    <w:rsid w:val="00A856B9"/>
    <w:rsid w:val="00A9052C"/>
    <w:rsid w:val="00AA2615"/>
    <w:rsid w:val="00AA4F86"/>
    <w:rsid w:val="00AB467E"/>
    <w:rsid w:val="00AB61B0"/>
    <w:rsid w:val="00AD19B7"/>
    <w:rsid w:val="00AE2393"/>
    <w:rsid w:val="00B22A04"/>
    <w:rsid w:val="00B27FC3"/>
    <w:rsid w:val="00B317ED"/>
    <w:rsid w:val="00B41112"/>
    <w:rsid w:val="00B57016"/>
    <w:rsid w:val="00BA1BB1"/>
    <w:rsid w:val="00BA2EEC"/>
    <w:rsid w:val="00BC4C91"/>
    <w:rsid w:val="00BD0A4D"/>
    <w:rsid w:val="00BD0DA7"/>
    <w:rsid w:val="00BD18FC"/>
    <w:rsid w:val="00BD6600"/>
    <w:rsid w:val="00BE2386"/>
    <w:rsid w:val="00BE578A"/>
    <w:rsid w:val="00BF359B"/>
    <w:rsid w:val="00BF3BD7"/>
    <w:rsid w:val="00C03032"/>
    <w:rsid w:val="00C047C2"/>
    <w:rsid w:val="00C12B84"/>
    <w:rsid w:val="00C156A1"/>
    <w:rsid w:val="00C26755"/>
    <w:rsid w:val="00C26761"/>
    <w:rsid w:val="00C37B2F"/>
    <w:rsid w:val="00C450D6"/>
    <w:rsid w:val="00C5193A"/>
    <w:rsid w:val="00C5238D"/>
    <w:rsid w:val="00C5300B"/>
    <w:rsid w:val="00C607CA"/>
    <w:rsid w:val="00C652A6"/>
    <w:rsid w:val="00C664A2"/>
    <w:rsid w:val="00C7786F"/>
    <w:rsid w:val="00C95153"/>
    <w:rsid w:val="00CA0124"/>
    <w:rsid w:val="00CA58A1"/>
    <w:rsid w:val="00CA5B97"/>
    <w:rsid w:val="00CB5968"/>
    <w:rsid w:val="00CC2491"/>
    <w:rsid w:val="00CD3E49"/>
    <w:rsid w:val="00CD63CA"/>
    <w:rsid w:val="00CF0529"/>
    <w:rsid w:val="00CF0C9C"/>
    <w:rsid w:val="00CF3906"/>
    <w:rsid w:val="00CF7D9B"/>
    <w:rsid w:val="00D01508"/>
    <w:rsid w:val="00D03B73"/>
    <w:rsid w:val="00D1042F"/>
    <w:rsid w:val="00D23572"/>
    <w:rsid w:val="00D37183"/>
    <w:rsid w:val="00D46AAC"/>
    <w:rsid w:val="00D50EEC"/>
    <w:rsid w:val="00D61CB3"/>
    <w:rsid w:val="00D62FD0"/>
    <w:rsid w:val="00D74B17"/>
    <w:rsid w:val="00D832B8"/>
    <w:rsid w:val="00DB4D6B"/>
    <w:rsid w:val="00DC4F81"/>
    <w:rsid w:val="00DF590E"/>
    <w:rsid w:val="00E43819"/>
    <w:rsid w:val="00E54377"/>
    <w:rsid w:val="00E576DC"/>
    <w:rsid w:val="00E61348"/>
    <w:rsid w:val="00E64E25"/>
    <w:rsid w:val="00E86262"/>
    <w:rsid w:val="00E909BC"/>
    <w:rsid w:val="00E90A6A"/>
    <w:rsid w:val="00E94A43"/>
    <w:rsid w:val="00E97425"/>
    <w:rsid w:val="00EA5338"/>
    <w:rsid w:val="00EB707B"/>
    <w:rsid w:val="00ED07BD"/>
    <w:rsid w:val="00EF573C"/>
    <w:rsid w:val="00EF5A8D"/>
    <w:rsid w:val="00F009CD"/>
    <w:rsid w:val="00F1434F"/>
    <w:rsid w:val="00F44C27"/>
    <w:rsid w:val="00F51EBC"/>
    <w:rsid w:val="00F759D2"/>
    <w:rsid w:val="00F85DA1"/>
    <w:rsid w:val="00F923D4"/>
    <w:rsid w:val="00F92552"/>
    <w:rsid w:val="00FC073C"/>
    <w:rsid w:val="00FD0C79"/>
    <w:rsid w:val="00FD2F28"/>
    <w:rsid w:val="00FD3F04"/>
    <w:rsid w:val="00FE5CA8"/>
    <w:rsid w:val="00FE738B"/>
    <w:rsid w:val="00FF03FF"/>
    <w:rsid w:val="0F051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D5"/>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qFormat/>
    <w:rsid w:val="00950AD5"/>
    <w:pPr>
      <w:keepNext/>
      <w:keepLines/>
      <w:spacing w:before="340" w:after="330" w:line="578" w:lineRule="auto"/>
      <w:jc w:val="center"/>
      <w:outlineLvl w:val="0"/>
    </w:pPr>
    <w:rPr>
      <w:rFonts w:eastAsia="黑体"/>
      <w:b/>
      <w:bCs/>
      <w:kern w:val="44"/>
      <w:sz w:val="28"/>
      <w:szCs w:val="44"/>
    </w:rPr>
  </w:style>
  <w:style w:type="paragraph" w:styleId="2">
    <w:name w:val="heading 2"/>
    <w:basedOn w:val="a"/>
    <w:next w:val="a"/>
    <w:link w:val="2Char"/>
    <w:uiPriority w:val="9"/>
    <w:unhideWhenUsed/>
    <w:qFormat/>
    <w:rsid w:val="00950AD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50AD5"/>
    <w:pPr>
      <w:keepNext/>
      <w:keepLines/>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50AD5"/>
    <w:rPr>
      <w:sz w:val="18"/>
      <w:szCs w:val="18"/>
    </w:rPr>
  </w:style>
  <w:style w:type="paragraph" w:styleId="a4">
    <w:name w:val="footer"/>
    <w:basedOn w:val="a"/>
    <w:link w:val="Char0"/>
    <w:uiPriority w:val="99"/>
    <w:unhideWhenUsed/>
    <w:qFormat/>
    <w:rsid w:val="00950AD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50AD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50AD5"/>
    <w:pPr>
      <w:widowControl/>
      <w:spacing w:before="100" w:beforeAutospacing="1" w:after="100" w:afterAutospacing="1"/>
      <w:jc w:val="left"/>
    </w:pPr>
    <w:rPr>
      <w:rFonts w:ascii="宋体" w:eastAsia="宋体" w:hAnsi="宋体" w:cs="宋体"/>
      <w:kern w:val="0"/>
      <w:szCs w:val="24"/>
    </w:rPr>
  </w:style>
  <w:style w:type="character" w:styleId="a7">
    <w:name w:val="Strong"/>
    <w:basedOn w:val="a0"/>
    <w:uiPriority w:val="22"/>
    <w:qFormat/>
    <w:rsid w:val="00950AD5"/>
    <w:rPr>
      <w:b/>
      <w:bCs/>
    </w:rPr>
  </w:style>
  <w:style w:type="character" w:styleId="a8">
    <w:name w:val="Hyperlink"/>
    <w:basedOn w:val="a0"/>
    <w:uiPriority w:val="99"/>
    <w:unhideWhenUsed/>
    <w:rsid w:val="00950AD5"/>
    <w:rPr>
      <w:color w:val="0000FF"/>
      <w:u w:val="single"/>
    </w:rPr>
  </w:style>
  <w:style w:type="table" w:styleId="a9">
    <w:name w:val="Table Grid"/>
    <w:basedOn w:val="a1"/>
    <w:uiPriority w:val="59"/>
    <w:qFormat/>
    <w:rsid w:val="00950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50AD5"/>
    <w:rPr>
      <w:rFonts w:eastAsia="黑体"/>
      <w:b/>
      <w:bCs/>
      <w:kern w:val="44"/>
      <w:sz w:val="28"/>
      <w:szCs w:val="44"/>
    </w:rPr>
  </w:style>
  <w:style w:type="character" w:customStyle="1" w:styleId="2Char">
    <w:name w:val="标题 2 Char"/>
    <w:basedOn w:val="a0"/>
    <w:link w:val="2"/>
    <w:uiPriority w:val="9"/>
    <w:qFormat/>
    <w:rsid w:val="00950AD5"/>
    <w:rPr>
      <w:rFonts w:asciiTheme="majorHAnsi" w:eastAsiaTheme="majorEastAsia" w:hAnsiTheme="majorHAnsi" w:cstheme="majorBidi"/>
      <w:b/>
      <w:bCs/>
      <w:sz w:val="32"/>
      <w:szCs w:val="32"/>
    </w:rPr>
  </w:style>
  <w:style w:type="paragraph" w:customStyle="1" w:styleId="10">
    <w:name w:val="列出段落1"/>
    <w:basedOn w:val="a"/>
    <w:uiPriority w:val="34"/>
    <w:qFormat/>
    <w:rsid w:val="00950AD5"/>
    <w:pPr>
      <w:ind w:firstLineChars="200" w:firstLine="420"/>
    </w:pPr>
  </w:style>
  <w:style w:type="character" w:customStyle="1" w:styleId="3Char">
    <w:name w:val="标题 3 Char"/>
    <w:basedOn w:val="a0"/>
    <w:link w:val="3"/>
    <w:uiPriority w:val="9"/>
    <w:qFormat/>
    <w:rsid w:val="00950AD5"/>
    <w:rPr>
      <w:b/>
      <w:bCs/>
      <w:sz w:val="30"/>
      <w:szCs w:val="32"/>
    </w:rPr>
  </w:style>
  <w:style w:type="character" w:customStyle="1" w:styleId="Char1">
    <w:name w:val="页眉 Char"/>
    <w:basedOn w:val="a0"/>
    <w:link w:val="a5"/>
    <w:uiPriority w:val="99"/>
    <w:qFormat/>
    <w:rsid w:val="00950AD5"/>
    <w:rPr>
      <w:sz w:val="18"/>
      <w:szCs w:val="18"/>
    </w:rPr>
  </w:style>
  <w:style w:type="character" w:customStyle="1" w:styleId="Char0">
    <w:name w:val="页脚 Char"/>
    <w:basedOn w:val="a0"/>
    <w:link w:val="a4"/>
    <w:uiPriority w:val="99"/>
    <w:qFormat/>
    <w:rsid w:val="00950AD5"/>
    <w:rPr>
      <w:sz w:val="18"/>
      <w:szCs w:val="18"/>
    </w:rPr>
  </w:style>
  <w:style w:type="character" w:customStyle="1" w:styleId="Char">
    <w:name w:val="批注框文本 Char"/>
    <w:basedOn w:val="a0"/>
    <w:link w:val="a3"/>
    <w:uiPriority w:val="99"/>
    <w:semiHidden/>
    <w:qFormat/>
    <w:rsid w:val="00950AD5"/>
    <w:rPr>
      <w:sz w:val="18"/>
      <w:szCs w:val="18"/>
    </w:rPr>
  </w:style>
  <w:style w:type="character" w:customStyle="1" w:styleId="11">
    <w:name w:val="占位符文本1"/>
    <w:basedOn w:val="a0"/>
    <w:uiPriority w:val="99"/>
    <w:semiHidden/>
    <w:qFormat/>
    <w:rsid w:val="00950AD5"/>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158573928259003"/>
          <c:y val="5.1400554097404495E-2"/>
          <c:w val="0.70106692913385782"/>
          <c:h val="0.83444044478909718"/>
        </c:manualLayout>
      </c:layout>
      <c:lineChart>
        <c:grouping val="standard"/>
        <c:ser>
          <c:idx val="0"/>
          <c:order val="0"/>
          <c:tx>
            <c:strRef>
              <c:f>Sheet1!$G$48</c:f>
              <c:strCache>
                <c:ptCount val="1"/>
                <c:pt idx="0">
                  <c:v>et</c:v>
                </c:pt>
              </c:strCache>
            </c:strRef>
          </c:tx>
          <c:spPr>
            <a:ln w="28575" cap="rnd" cmpd="sng" algn="ctr">
              <a:solidFill>
                <a:schemeClr val="tx1"/>
              </a:solidFill>
              <a:prstDash val="sysDot"/>
              <a:round/>
            </a:ln>
          </c:spPr>
          <c:marker>
            <c:spPr>
              <a:solidFill>
                <a:schemeClr val="tx1"/>
              </a:solidFill>
            </c:spPr>
          </c:marker>
          <c:cat>
            <c:numRef>
              <c:f>Sheet1!$D$49:$D$61</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Sheet1!$G$49:$G$61</c:f>
              <c:numCache>
                <c:formatCode>General</c:formatCode>
                <c:ptCount val="13"/>
                <c:pt idx="0">
                  <c:v>4.2768740561005908E-2</c:v>
                </c:pt>
                <c:pt idx="1">
                  <c:v>8.926468573789233E-3</c:v>
                </c:pt>
                <c:pt idx="2">
                  <c:v>1.2823599559156304E-2</c:v>
                </c:pt>
                <c:pt idx="3">
                  <c:v>-1.0670092500973498E-2</c:v>
                </c:pt>
                <c:pt idx="4">
                  <c:v>3.2227591276532607E-3</c:v>
                </c:pt>
                <c:pt idx="5">
                  <c:v>-4.1675212289216799E-2</c:v>
                </c:pt>
                <c:pt idx="6">
                  <c:v>2.8313929893274005E-2</c:v>
                </c:pt>
                <c:pt idx="7">
                  <c:v>1.4106655992257204E-2</c:v>
                </c:pt>
                <c:pt idx="8">
                  <c:v>-6.7942327696641916E-3</c:v>
                </c:pt>
                <c:pt idx="9">
                  <c:v>-9.9502487074883627E-4</c:v>
                </c:pt>
                <c:pt idx="10">
                  <c:v>-1.8954209212911611E-3</c:v>
                </c:pt>
                <c:pt idx="11">
                  <c:v>1.6682689583628504E-2</c:v>
                </c:pt>
                <c:pt idx="12">
                  <c:v>-4.7651949032105909E-3</c:v>
                </c:pt>
              </c:numCache>
            </c:numRef>
          </c:val>
        </c:ser>
        <c:ser>
          <c:idx val="1"/>
          <c:order val="1"/>
          <c:tx>
            <c:strRef>
              <c:f>Sheet1!$H$48</c:f>
              <c:strCache>
                <c:ptCount val="1"/>
                <c:pt idx="0">
                  <c:v>CAR</c:v>
                </c:pt>
              </c:strCache>
            </c:strRef>
          </c:tx>
          <c:spPr>
            <a:ln w="28575" cap="rnd" cmpd="sng" algn="ctr">
              <a:solidFill>
                <a:schemeClr val="tx1"/>
              </a:solidFill>
              <a:prstDash val="solid"/>
              <a:round/>
            </a:ln>
          </c:spPr>
          <c:marker>
            <c:spPr>
              <a:solidFill>
                <a:schemeClr val="tx1"/>
              </a:solidFill>
            </c:spPr>
          </c:marker>
          <c:val>
            <c:numRef>
              <c:f>Sheet1!$H$49:$H$61</c:f>
              <c:numCache>
                <c:formatCode>General</c:formatCode>
                <c:ptCount val="13"/>
                <c:pt idx="0">
                  <c:v>4.2768740561005908E-2</c:v>
                </c:pt>
                <c:pt idx="1">
                  <c:v>5.1695209134795223E-2</c:v>
                </c:pt>
                <c:pt idx="2">
                  <c:v>6.4518808693951379E-2</c:v>
                </c:pt>
                <c:pt idx="3">
                  <c:v>5.3848716192977902E-2</c:v>
                </c:pt>
                <c:pt idx="4">
                  <c:v>5.7071475320631192E-2</c:v>
                </c:pt>
                <c:pt idx="5">
                  <c:v>1.5396263031414404E-2</c:v>
                </c:pt>
                <c:pt idx="6">
                  <c:v>4.3710192924688432E-2</c:v>
                </c:pt>
                <c:pt idx="7">
                  <c:v>5.7816848916945628E-2</c:v>
                </c:pt>
                <c:pt idx="8">
                  <c:v>5.1022616147281423E-2</c:v>
                </c:pt>
                <c:pt idx="9">
                  <c:v>5.0027591276532606E-2</c:v>
                </c:pt>
                <c:pt idx="10">
                  <c:v>4.8132170355241428E-2</c:v>
                </c:pt>
                <c:pt idx="11">
                  <c:v>6.4814859938869901E-2</c:v>
                </c:pt>
                <c:pt idx="12">
                  <c:v>6.0049665035659304E-2</c:v>
                </c:pt>
              </c:numCache>
            </c:numRef>
          </c:val>
        </c:ser>
        <c:marker val="1"/>
        <c:axId val="122783616"/>
        <c:axId val="122785152"/>
      </c:lineChart>
      <c:catAx>
        <c:axId val="122783616"/>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2785152"/>
        <c:crosses val="autoZero"/>
        <c:auto val="1"/>
        <c:lblAlgn val="ctr"/>
        <c:lblOffset val="100"/>
      </c:catAx>
      <c:valAx>
        <c:axId val="122785152"/>
        <c:scaling>
          <c:orientation val="minMax"/>
        </c:scaling>
        <c:axPos val="l"/>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278361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Sheet1!$G$48</c:f>
              <c:strCache>
                <c:ptCount val="1"/>
                <c:pt idx="0">
                  <c:v>et</c:v>
                </c:pt>
              </c:strCache>
            </c:strRef>
          </c:tx>
          <c:spPr>
            <a:ln w="28575" cap="rnd" cmpd="sng" algn="ctr">
              <a:solidFill>
                <a:schemeClr val="tx1"/>
              </a:solidFill>
              <a:prstDash val="sysDash"/>
              <a:round/>
            </a:ln>
          </c:spPr>
          <c:marker>
            <c:spPr>
              <a:solidFill>
                <a:schemeClr val="tx1"/>
              </a:solidFill>
            </c:spPr>
          </c:marker>
          <c:cat>
            <c:numRef>
              <c:f>Sheet1!$D$49:$D$61</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Sheet1!$G$49:$G$61</c:f>
              <c:numCache>
                <c:formatCode>General</c:formatCode>
                <c:ptCount val="13"/>
                <c:pt idx="0">
                  <c:v>-2.2877426209683615E-3</c:v>
                </c:pt>
                <c:pt idx="1">
                  <c:v>3.4637860240363414E-3</c:v>
                </c:pt>
                <c:pt idx="2">
                  <c:v>3.683812162523082E-2</c:v>
                </c:pt>
                <c:pt idx="3">
                  <c:v>-4.4563142493789006E-3</c:v>
                </c:pt>
                <c:pt idx="4">
                  <c:v>-3.1728746054557604E-2</c:v>
                </c:pt>
                <c:pt idx="5">
                  <c:v>2.8131093533427113E-3</c:v>
                </c:pt>
                <c:pt idx="6">
                  <c:v>4.3514551917097502E-3</c:v>
                </c:pt>
                <c:pt idx="7">
                  <c:v>-6.7230311693260011E-3</c:v>
                </c:pt>
                <c:pt idx="8">
                  <c:v>-1.58541089336806E-2</c:v>
                </c:pt>
                <c:pt idx="9">
                  <c:v>5.2612791886554201E-3</c:v>
                </c:pt>
                <c:pt idx="10">
                  <c:v>5.236768283843533E-3</c:v>
                </c:pt>
                <c:pt idx="11">
                  <c:v>2.0379675513448509E-2</c:v>
                </c:pt>
                <c:pt idx="12">
                  <c:v>2.1307027913770311E-3</c:v>
                </c:pt>
              </c:numCache>
            </c:numRef>
          </c:val>
        </c:ser>
        <c:ser>
          <c:idx val="1"/>
          <c:order val="1"/>
          <c:tx>
            <c:strRef>
              <c:f>Sheet1!$H$48</c:f>
              <c:strCache>
                <c:ptCount val="1"/>
                <c:pt idx="0">
                  <c:v>CAR</c:v>
                </c:pt>
              </c:strCache>
            </c:strRef>
          </c:tx>
          <c:spPr>
            <a:ln w="28575" cap="rnd" cmpd="sng" algn="ctr">
              <a:solidFill>
                <a:schemeClr val="tx1"/>
              </a:solidFill>
              <a:prstDash val="solid"/>
              <a:round/>
            </a:ln>
          </c:spPr>
          <c:marker>
            <c:spPr>
              <a:solidFill>
                <a:schemeClr val="tx1"/>
              </a:solidFill>
            </c:spPr>
          </c:marker>
          <c:val>
            <c:numRef>
              <c:f>Sheet1!$H$49:$H$61</c:f>
              <c:numCache>
                <c:formatCode>General</c:formatCode>
                <c:ptCount val="13"/>
                <c:pt idx="0">
                  <c:v>-2.2877426209683615E-3</c:v>
                </c:pt>
                <c:pt idx="1">
                  <c:v>1.1760434030679803E-3</c:v>
                </c:pt>
                <c:pt idx="2">
                  <c:v>3.801416502829881E-2</c:v>
                </c:pt>
                <c:pt idx="3">
                  <c:v>3.3557850778919922E-2</c:v>
                </c:pt>
                <c:pt idx="4">
                  <c:v>1.8291047243622406E-3</c:v>
                </c:pt>
                <c:pt idx="5">
                  <c:v>4.6422140777049497E-3</c:v>
                </c:pt>
                <c:pt idx="6">
                  <c:v>8.9936692694146947E-3</c:v>
                </c:pt>
                <c:pt idx="7">
                  <c:v>2.2706381000887005E-3</c:v>
                </c:pt>
                <c:pt idx="8">
                  <c:v>-1.3583470833591901E-2</c:v>
                </c:pt>
                <c:pt idx="9">
                  <c:v>-8.3221916449364528E-3</c:v>
                </c:pt>
                <c:pt idx="10">
                  <c:v>-3.0854233610929315E-3</c:v>
                </c:pt>
                <c:pt idx="11">
                  <c:v>1.7294252152355603E-2</c:v>
                </c:pt>
                <c:pt idx="12">
                  <c:v>1.9424954943732611E-2</c:v>
                </c:pt>
              </c:numCache>
            </c:numRef>
          </c:val>
        </c:ser>
        <c:marker val="1"/>
        <c:axId val="128848256"/>
        <c:axId val="128849792"/>
      </c:lineChart>
      <c:catAx>
        <c:axId val="128848256"/>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849792"/>
        <c:crosses val="autoZero"/>
        <c:auto val="1"/>
        <c:lblAlgn val="ctr"/>
        <c:lblOffset val="100"/>
      </c:catAx>
      <c:valAx>
        <c:axId val="128849792"/>
        <c:scaling>
          <c:orientation val="minMax"/>
        </c:scaling>
        <c:axPos val="l"/>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848256"/>
        <c:crosses val="autoZero"/>
        <c:crossBetween val="between"/>
      </c:valAx>
      <c:spPr>
        <a:noFill/>
        <a:ln w="25400">
          <a:noFill/>
        </a:ln>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C686C-DFAD-4949-BBBB-B9516CAA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cp:lastPrinted>2016-03-17T10:44:00Z</cp:lastPrinted>
  <dcterms:created xsi:type="dcterms:W3CDTF">2017-10-17T01:24:00Z</dcterms:created>
  <dcterms:modified xsi:type="dcterms:W3CDTF">2017-10-17T01:24:00Z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