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82" w:rsidRDefault="00923982">
      <w:pPr>
        <w:pStyle w:val="CMMI074"/>
        <w:ind w:firstLine="0"/>
        <w:jc w:val="center"/>
      </w:pPr>
      <w:bookmarkStart w:id="0" w:name="_GoBack"/>
      <w:bookmarkEnd w:id="0"/>
      <w:r w:rsidRPr="00923982">
        <w:rPr>
          <w:rFonts w:ascii="华文中宋" w:eastAsia="华文中宋" w:hAnsi="华文中宋"/>
          <w:b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0.6pt;margin-top:-202.8pt;width:54pt;height:23.4pt;z-index:251660288" filled="f" stroked="f">
            <v:textbox>
              <w:txbxContent>
                <w:p w:rsidR="00923982" w:rsidRDefault="00E64AD9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起源</w:t>
                  </w:r>
                </w:p>
              </w:txbxContent>
            </v:textbox>
          </v:shape>
        </w:pict>
      </w:r>
      <w:r w:rsidR="00E64AD9">
        <w:rPr>
          <w:rFonts w:ascii="华文中宋" w:eastAsia="华文中宋" w:hAnsi="华文中宋" w:hint="eastAsia"/>
          <w:b/>
          <w:sz w:val="36"/>
          <w:szCs w:val="36"/>
        </w:rPr>
        <w:t>LKJ</w:t>
      </w:r>
      <w:r w:rsidR="00E64AD9">
        <w:rPr>
          <w:rFonts w:ascii="华文中宋" w:eastAsia="华文中宋" w:hAnsi="华文中宋" w:hint="eastAsia"/>
          <w:b/>
          <w:sz w:val="36"/>
          <w:szCs w:val="36"/>
        </w:rPr>
        <w:t>监控系统</w:t>
      </w:r>
      <w:r w:rsidR="00E64AD9">
        <w:rPr>
          <w:rFonts w:ascii="华文中宋" w:eastAsia="华文中宋" w:hAnsi="华文中宋" w:hint="eastAsia"/>
          <w:b/>
          <w:sz w:val="36"/>
          <w:szCs w:val="36"/>
        </w:rPr>
        <w:t>CAN</w:t>
      </w:r>
      <w:r w:rsidR="00E64AD9">
        <w:rPr>
          <w:rFonts w:ascii="华文中宋" w:eastAsia="华文中宋" w:hAnsi="华文中宋" w:hint="eastAsia"/>
          <w:b/>
          <w:sz w:val="36"/>
          <w:szCs w:val="36"/>
        </w:rPr>
        <w:t>总线失效分析与研究</w:t>
      </w:r>
    </w:p>
    <w:p w:rsidR="00923982" w:rsidRDefault="00923982">
      <w:pPr>
        <w:spacing w:line="360" w:lineRule="auto"/>
        <w:jc w:val="center"/>
        <w:rPr>
          <w:szCs w:val="21"/>
        </w:rPr>
      </w:pPr>
    </w:p>
    <w:p w:rsidR="00923982" w:rsidRDefault="00E64AD9">
      <w:pPr>
        <w:spacing w:line="360" w:lineRule="auto"/>
        <w:jc w:val="center"/>
        <w:rPr>
          <w:szCs w:val="21"/>
          <w:vertAlign w:val="superscript"/>
        </w:rPr>
      </w:pPr>
      <w:r>
        <w:rPr>
          <w:rFonts w:hint="eastAsia"/>
          <w:szCs w:val="21"/>
        </w:rPr>
        <w:t>殷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源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黄爱萍</w:t>
      </w:r>
    </w:p>
    <w:p w:rsidR="00923982" w:rsidRDefault="00E64AD9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株洲中车时代电气股份有限公司通信信号事业部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株洲，</w:t>
      </w:r>
      <w:r>
        <w:rPr>
          <w:rFonts w:hint="eastAsia"/>
          <w:szCs w:val="21"/>
        </w:rPr>
        <w:t>412001</w:t>
      </w:r>
    </w:p>
    <w:p w:rsidR="00923982" w:rsidRDefault="00923982">
      <w:pPr>
        <w:spacing w:line="360" w:lineRule="auto"/>
        <w:jc w:val="center"/>
        <w:rPr>
          <w:szCs w:val="21"/>
        </w:rPr>
      </w:pPr>
    </w:p>
    <w:p w:rsidR="00923982" w:rsidRDefault="00E64AD9">
      <w:pPr>
        <w:spacing w:line="360" w:lineRule="auto"/>
        <w:rPr>
          <w:rFonts w:ascii="楷体_GB2312" w:eastAsia="楷体_GB2312" w:hAnsi="宋体"/>
          <w:szCs w:val="21"/>
        </w:rPr>
      </w:pPr>
      <w:bookmarkStart w:id="1" w:name="OLE_LINK1"/>
      <w:bookmarkStart w:id="2" w:name="OLE_LINK2"/>
      <w:r>
        <w:rPr>
          <w:rFonts w:ascii="宋体" w:hAnsi="宋体" w:hint="eastAsia"/>
          <w:b/>
          <w:szCs w:val="21"/>
        </w:rPr>
        <w:t>摘要：</w:t>
      </w:r>
      <w:r>
        <w:rPr>
          <w:rFonts w:ascii="宋体" w:hAnsi="宋体" w:hint="eastAsia"/>
          <w:szCs w:val="21"/>
        </w:rPr>
        <w:t>LKJ</w:t>
      </w:r>
      <w:r>
        <w:rPr>
          <w:rFonts w:ascii="宋体" w:hAnsi="宋体" w:hint="eastAsia"/>
          <w:szCs w:val="21"/>
        </w:rPr>
        <w:t>监控装置采用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总线通信方式，如果</w:t>
      </w:r>
      <w:r>
        <w:rPr>
          <w:rFonts w:hint="eastAsia"/>
          <w:szCs w:val="21"/>
        </w:rPr>
        <w:t>通信质量不佳，将导致通信故障，甚至导致机车无故放风等严重问题。本文针对</w:t>
      </w:r>
      <w:r>
        <w:rPr>
          <w:rFonts w:hint="eastAsia"/>
          <w:szCs w:val="21"/>
        </w:rPr>
        <w:t>CAN</w:t>
      </w:r>
      <w:r>
        <w:rPr>
          <w:rFonts w:hint="eastAsia"/>
          <w:szCs w:val="21"/>
        </w:rPr>
        <w:t>总线通信故障导致系统单机运行失效的一个事件，对</w:t>
      </w:r>
      <w:r>
        <w:rPr>
          <w:rFonts w:hint="eastAsia"/>
          <w:szCs w:val="21"/>
        </w:rPr>
        <w:t>CAN</w:t>
      </w:r>
      <w:r>
        <w:rPr>
          <w:rFonts w:hint="eastAsia"/>
          <w:szCs w:val="21"/>
        </w:rPr>
        <w:t>总线电源、</w:t>
      </w:r>
      <w:r>
        <w:rPr>
          <w:rFonts w:hint="eastAsia"/>
          <w:szCs w:val="21"/>
        </w:rPr>
        <w:t>CAN</w:t>
      </w:r>
      <w:r>
        <w:rPr>
          <w:rFonts w:hint="eastAsia"/>
          <w:szCs w:val="21"/>
        </w:rPr>
        <w:t>终端电阻、</w:t>
      </w:r>
      <w:r>
        <w:rPr>
          <w:rFonts w:hint="eastAsia"/>
          <w:szCs w:val="21"/>
        </w:rPr>
        <w:t>CAN</w:t>
      </w:r>
      <w:r>
        <w:rPr>
          <w:rFonts w:hint="eastAsia"/>
          <w:szCs w:val="21"/>
        </w:rPr>
        <w:t>采样点配置等方面进行分析和检测，对故障现象进行分析，认为导致系统单机运行记录的原因是：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终端电阻配置和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采样点初始化配置</w:t>
      </w:r>
      <w:r>
        <w:rPr>
          <w:rFonts w:hint="eastAsia"/>
          <w:szCs w:val="21"/>
        </w:rPr>
        <w:t>错误。本文的分析对</w:t>
      </w:r>
      <w:r>
        <w:rPr>
          <w:rFonts w:hint="eastAsia"/>
          <w:szCs w:val="21"/>
        </w:rPr>
        <w:t>CAN</w:t>
      </w:r>
      <w:r>
        <w:rPr>
          <w:rFonts w:hint="eastAsia"/>
          <w:szCs w:val="21"/>
        </w:rPr>
        <w:t>总线的设计</w:t>
      </w:r>
      <w:r>
        <w:rPr>
          <w:rFonts w:ascii="宋体" w:hAnsi="宋体" w:hint="eastAsia"/>
          <w:szCs w:val="21"/>
        </w:rPr>
        <w:t>和改进有一定的帮助</w:t>
      </w:r>
      <w:r>
        <w:rPr>
          <w:rFonts w:hint="eastAsia"/>
          <w:szCs w:val="21"/>
        </w:rPr>
        <w:t>。</w:t>
      </w:r>
    </w:p>
    <w:p w:rsidR="00923982" w:rsidRDefault="00E64AD9">
      <w:pPr>
        <w:spacing w:line="360" w:lineRule="auto"/>
      </w:pPr>
      <w:r>
        <w:rPr>
          <w:rFonts w:ascii="宋体" w:hAnsi="宋体" w:hint="eastAsia"/>
          <w:b/>
          <w:szCs w:val="21"/>
        </w:rPr>
        <w:t>关键词：</w:t>
      </w:r>
      <w:r>
        <w:rPr>
          <w:rFonts w:hint="eastAsia"/>
          <w:szCs w:val="21"/>
        </w:rPr>
        <w:t>CAN</w:t>
      </w:r>
      <w:r>
        <w:rPr>
          <w:rFonts w:hint="eastAsia"/>
          <w:szCs w:val="21"/>
        </w:rPr>
        <w:t>总线；终端电阻；采样点配置；</w:t>
      </w:r>
      <w:bookmarkEnd w:id="1"/>
      <w:bookmarkEnd w:id="2"/>
      <w:r>
        <w:rPr>
          <w:rFonts w:hint="eastAsia"/>
        </w:rPr>
        <w:t xml:space="preserve"> </w:t>
      </w:r>
    </w:p>
    <w:p w:rsidR="00923982" w:rsidRDefault="00E64AD9">
      <w:pPr>
        <w:spacing w:line="360" w:lineRule="auto"/>
        <w:rPr>
          <w:rFonts w:ascii="楷体_GB2312" w:eastAsia="楷体_GB2312" w:hAnsi="宋体"/>
          <w:szCs w:val="21"/>
        </w:rPr>
      </w:pPr>
      <w:r>
        <w:t>Abstract: LKJ monitoring device based on CAN bus communicatio</w:t>
      </w:r>
      <w:r>
        <w:t>n mode, if the communication quality is poor, will lead to communication failure, and even lead to serious problems such as the locomotive without. Based on the CAN bus communication fault leads to a single system failure event, the CAN bus power supply, C</w:t>
      </w:r>
      <w:r>
        <w:t>AN terminal resistor, CAN sampling point configuration and other aspects of the analysis and detection of fault phenomenon is analyzed, that causes the system stand-alone operation record is: CAN termination configuration and CAN sampling point initializat</w:t>
      </w:r>
      <w:r>
        <w:t>ion configuration error. The analysis of this paper is helpful to the design and improvement of CAN bus.</w:t>
      </w:r>
    </w:p>
    <w:p w:rsidR="00923982" w:rsidRDefault="00E64AD9">
      <w:pPr>
        <w:pStyle w:val="CMMI074"/>
        <w:ind w:firstLine="0"/>
      </w:pPr>
      <w:r>
        <w:t>Keywords: CAN bus; termination resistance; sampling point configuration;</w:t>
      </w:r>
    </w:p>
    <w:p w:rsidR="00923982" w:rsidRDefault="00923982">
      <w:pPr>
        <w:pStyle w:val="CMMI074"/>
        <w:ind w:firstLine="0"/>
      </w:pPr>
    </w:p>
    <w:p w:rsidR="00923982" w:rsidRDefault="00E64AD9">
      <w:pPr>
        <w:pStyle w:val="CMMI074"/>
        <w:ind w:firstLine="0"/>
        <w:rPr>
          <w:rFonts w:ascii="宋体" w:hAnsi="宋体" w:cs="Times New Roman"/>
          <w:szCs w:val="21"/>
        </w:rPr>
      </w:pPr>
      <w:r>
        <w:rPr>
          <w:rFonts w:hint="eastAsia"/>
        </w:rPr>
        <w:t xml:space="preserve">   </w:t>
      </w:r>
      <w:r>
        <w:rPr>
          <w:rFonts w:ascii="宋体" w:hAnsi="宋体" w:cs="Times New Roman" w:hint="eastAsia"/>
          <w:szCs w:val="21"/>
        </w:rPr>
        <w:t xml:space="preserve">  CAN</w:t>
      </w:r>
      <w:r>
        <w:rPr>
          <w:rFonts w:ascii="宋体" w:hAnsi="宋体" w:cs="Times New Roman" w:hint="eastAsia"/>
          <w:szCs w:val="21"/>
        </w:rPr>
        <w:t>总线是一种被广泛使用的现场总线，是</w:t>
      </w:r>
      <w:r>
        <w:rPr>
          <w:rFonts w:ascii="宋体" w:hAnsi="宋体" w:cs="Times New Roman" w:hint="eastAsia"/>
          <w:szCs w:val="21"/>
        </w:rPr>
        <w:t>ISO</w:t>
      </w:r>
      <w:r>
        <w:rPr>
          <w:rFonts w:ascii="宋体" w:hAnsi="宋体" w:cs="Times New Roman" w:hint="eastAsia"/>
          <w:szCs w:val="21"/>
        </w:rPr>
        <w:t>国际标准化的串行通信协议（</w:t>
      </w:r>
      <w:r>
        <w:rPr>
          <w:rFonts w:ascii="宋体" w:hAnsi="宋体" w:cs="Times New Roman" w:hint="eastAsia"/>
          <w:szCs w:val="21"/>
        </w:rPr>
        <w:t>ISO11898</w:t>
      </w:r>
      <w:r>
        <w:rPr>
          <w:rFonts w:ascii="宋体" w:hAnsi="宋体" w:cs="Times New Roman" w:hint="eastAsia"/>
          <w:szCs w:val="21"/>
        </w:rPr>
        <w:t>），其高性能和可靠性已被国际认同，广泛的应用于工业自动化</w:t>
      </w:r>
      <w:r>
        <w:rPr>
          <w:rFonts w:ascii="宋体" w:hAnsi="宋体" w:cs="Times New Roman" w:hint="eastAsia"/>
          <w:szCs w:val="21"/>
        </w:rPr>
        <w:t>、船舶、轨道、医疗设备、工业设备等方面。近年来</w:t>
      </w:r>
      <w:r>
        <w:rPr>
          <w:rFonts w:ascii="宋体" w:hAnsi="宋体" w:cs="Times New Roman" w:hint="eastAsia"/>
          <w:szCs w:val="21"/>
        </w:rPr>
        <w:t>,</w:t>
      </w:r>
      <w:r>
        <w:rPr>
          <w:rFonts w:ascii="宋体" w:hAnsi="宋体" w:cs="Times New Roman" w:hint="eastAsia"/>
          <w:szCs w:val="21"/>
        </w:rPr>
        <w:t>虽然</w:t>
      </w:r>
      <w:r>
        <w:rPr>
          <w:rFonts w:ascii="宋体" w:hAnsi="宋体" w:cs="Times New Roman" w:hint="eastAsia"/>
          <w:szCs w:val="21"/>
        </w:rPr>
        <w:t>FlexRay</w:t>
      </w:r>
      <w:r>
        <w:rPr>
          <w:rFonts w:ascii="宋体" w:hAnsi="宋体" w:cs="Times New Roman" w:hint="eastAsia"/>
          <w:szCs w:val="21"/>
        </w:rPr>
        <w:t>总线开始大面积使用</w:t>
      </w:r>
      <w:r>
        <w:rPr>
          <w:rFonts w:ascii="宋体" w:hAnsi="宋体" w:cs="Times New Roman" w:hint="eastAsia"/>
          <w:szCs w:val="21"/>
        </w:rPr>
        <w:t>,</w:t>
      </w:r>
      <w:r>
        <w:rPr>
          <w:rFonts w:ascii="宋体" w:hAnsi="宋体" w:cs="Times New Roman" w:hint="eastAsia"/>
          <w:szCs w:val="21"/>
        </w:rPr>
        <w:t>但是</w:t>
      </w:r>
      <w:r>
        <w:rPr>
          <w:rFonts w:ascii="宋体" w:hAnsi="宋体" w:cs="Times New Roman" w:hint="eastAsia"/>
          <w:szCs w:val="21"/>
        </w:rPr>
        <w:t>FlexRay</w:t>
      </w:r>
      <w:r>
        <w:rPr>
          <w:rFonts w:ascii="宋体" w:hAnsi="宋体" w:cs="Times New Roman" w:hint="eastAsia"/>
          <w:szCs w:val="21"/>
        </w:rPr>
        <w:t>总线无论在可靠性还是价格上能完全取代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总线以前，对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总线的作进一步的失效分析和改进仍然是非常有重要意义的。</w:t>
      </w:r>
    </w:p>
    <w:p w:rsidR="00923982" w:rsidRDefault="00E64AD9">
      <w:pPr>
        <w:spacing w:line="312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本文针对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总线在</w:t>
      </w:r>
      <w:r>
        <w:rPr>
          <w:rFonts w:ascii="宋体" w:hAnsi="宋体" w:hint="eastAsia"/>
          <w:szCs w:val="21"/>
        </w:rPr>
        <w:t>LKJ</w:t>
      </w:r>
      <w:r>
        <w:rPr>
          <w:rFonts w:ascii="宋体" w:hAnsi="宋体" w:hint="eastAsia"/>
          <w:szCs w:val="21"/>
        </w:rPr>
        <w:t>监控装置使用过程中发生失效的实际案例，通过具体的实验，进行分析、研究，找出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总线的失效的原因，进行改进。</w:t>
      </w:r>
    </w:p>
    <w:p w:rsidR="00923982" w:rsidRDefault="00E64AD9">
      <w:pPr>
        <w:pStyle w:val="CMMI074"/>
        <w:ind w:firstLine="0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Times New Roman" w:hint="eastAsia"/>
          <w:sz w:val="24"/>
          <w:szCs w:val="24"/>
        </w:rPr>
        <w:t xml:space="preserve">1  </w:t>
      </w:r>
      <w:r>
        <w:rPr>
          <w:rFonts w:ascii="黑体" w:eastAsia="黑体" w:cs="Times New Roman" w:hint="eastAsia"/>
          <w:sz w:val="24"/>
          <w:szCs w:val="24"/>
        </w:rPr>
        <w:t>问题描述</w:t>
      </w:r>
    </w:p>
    <w:p w:rsidR="00923982" w:rsidRDefault="00E64AD9">
      <w:pPr>
        <w:pStyle w:val="CMMI074"/>
        <w:ind w:firstLine="0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szCs w:val="21"/>
        </w:rPr>
        <w:lastRenderedPageBreak/>
        <w:t xml:space="preserve">    </w:t>
      </w:r>
      <w:r>
        <w:rPr>
          <w:rFonts w:ascii="宋体" w:hAnsi="宋体" w:cs="Times New Roman" w:hint="eastAsia"/>
          <w:szCs w:val="21"/>
        </w:rPr>
        <w:t>目前国内使用的铁路信号处理设备</w:t>
      </w:r>
      <w:r>
        <w:rPr>
          <w:rFonts w:ascii="宋体" w:hAnsi="宋体" w:cs="Times New Roman" w:hint="eastAsia"/>
          <w:szCs w:val="21"/>
        </w:rPr>
        <w:t>LKJ</w:t>
      </w:r>
      <w:r>
        <w:rPr>
          <w:rFonts w:ascii="宋体" w:hAnsi="宋体" w:cs="Times New Roman" w:hint="eastAsia"/>
          <w:szCs w:val="21"/>
        </w:rPr>
        <w:t>监控装置采用的就是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总线通信方式</w:t>
      </w:r>
      <w:r>
        <w:rPr>
          <w:rFonts w:ascii="宋体" w:hAnsi="宋体" w:cs="Times New Roman" w:hint="eastAsia"/>
          <w:szCs w:val="21"/>
        </w:rPr>
        <w:t>,</w:t>
      </w:r>
      <w:r>
        <w:rPr>
          <w:rFonts w:ascii="宋体" w:hAnsi="宋体" w:cs="Times New Roman" w:hint="eastAsia"/>
          <w:szCs w:val="21"/>
        </w:rPr>
        <w:t>在铁路局新装</w:t>
      </w:r>
      <w:r>
        <w:rPr>
          <w:rFonts w:ascii="宋体" w:hAnsi="宋体" w:cs="Times New Roman" w:hint="eastAsia"/>
          <w:szCs w:val="21"/>
        </w:rPr>
        <w:t>136</w:t>
      </w:r>
      <w:r>
        <w:rPr>
          <w:rFonts w:ascii="宋体" w:hAnsi="宋体" w:cs="Times New Roman" w:hint="eastAsia"/>
          <w:szCs w:val="21"/>
        </w:rPr>
        <w:t>台</w:t>
      </w:r>
      <w:r>
        <w:rPr>
          <w:rFonts w:ascii="宋体" w:hAnsi="宋体" w:cs="Times New Roman" w:hint="eastAsia"/>
          <w:szCs w:val="21"/>
        </w:rPr>
        <w:t>LKJ</w:t>
      </w:r>
      <w:r>
        <w:rPr>
          <w:rFonts w:ascii="宋体" w:hAnsi="宋体" w:cs="Times New Roman" w:hint="eastAsia"/>
          <w:szCs w:val="21"/>
        </w:rPr>
        <w:t>设备的机车</w:t>
      </w:r>
      <w:r>
        <w:rPr>
          <w:rFonts w:ascii="宋体" w:hAnsi="宋体" w:cs="Times New Roman" w:hint="eastAsia"/>
          <w:szCs w:val="21"/>
        </w:rPr>
        <w:t>,</w:t>
      </w:r>
      <w:r>
        <w:rPr>
          <w:rFonts w:ascii="宋体" w:hAnsi="宋体" w:cs="Times New Roman" w:hint="eastAsia"/>
          <w:szCs w:val="21"/>
        </w:rPr>
        <w:t>设备经过一个多月的线</w:t>
      </w:r>
      <w:r>
        <w:rPr>
          <w:rFonts w:ascii="宋体" w:hAnsi="宋体" w:cs="Times New Roman" w:hint="eastAsia"/>
          <w:szCs w:val="21"/>
        </w:rPr>
        <w:t>上运行</w:t>
      </w:r>
      <w:r>
        <w:rPr>
          <w:rFonts w:ascii="宋体" w:hAnsi="宋体" w:cs="Times New Roman" w:hint="eastAsia"/>
          <w:szCs w:val="21"/>
        </w:rPr>
        <w:t>,</w:t>
      </w:r>
      <w:r>
        <w:rPr>
          <w:rFonts w:ascii="宋体" w:hAnsi="宋体" w:cs="Times New Roman" w:hint="eastAsia"/>
          <w:szCs w:val="21"/>
        </w:rPr>
        <w:t>发现有</w:t>
      </w:r>
      <w:r>
        <w:rPr>
          <w:rFonts w:ascii="宋体" w:hAnsi="宋体" w:cs="Times New Roman" w:hint="eastAsia"/>
          <w:szCs w:val="21"/>
        </w:rPr>
        <w:t>15</w:t>
      </w:r>
      <w:r>
        <w:rPr>
          <w:rFonts w:ascii="宋体" w:hAnsi="宋体" w:cs="Times New Roman" w:hint="eastAsia"/>
          <w:szCs w:val="21"/>
        </w:rPr>
        <w:t>台机车记录文件中频繁出现单机运行故障，导致记录有单机运行的部分机车无故排风，非正常停车。另外单机运行大大的降低了</w:t>
      </w:r>
      <w:r>
        <w:rPr>
          <w:rFonts w:ascii="宋体" w:hAnsi="宋体" w:cs="Times New Roman" w:hint="eastAsia"/>
          <w:szCs w:val="21"/>
        </w:rPr>
        <w:t>LKJ</w:t>
      </w:r>
      <w:r>
        <w:rPr>
          <w:rFonts w:ascii="宋体" w:hAnsi="宋体" w:cs="Times New Roman" w:hint="eastAsia"/>
          <w:szCs w:val="21"/>
        </w:rPr>
        <w:t>监控装置系统的双机冗余可靠性，且会导致揭示不控等一系列严重后果，使机车导向不安全。</w:t>
      </w:r>
    </w:p>
    <w:p w:rsidR="00923982" w:rsidRDefault="00923982">
      <w:pPr>
        <w:pStyle w:val="CMMI074"/>
        <w:ind w:firstLine="0"/>
      </w:pPr>
    </w:p>
    <w:p w:rsidR="00923982" w:rsidRDefault="00E64AD9">
      <w:pPr>
        <w:pStyle w:val="CMMI074"/>
        <w:ind w:firstLine="0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Times New Roman" w:hint="eastAsia"/>
          <w:sz w:val="24"/>
          <w:szCs w:val="24"/>
        </w:rPr>
        <w:t>2  LKJ</w:t>
      </w:r>
      <w:r>
        <w:rPr>
          <w:rFonts w:ascii="黑体" w:eastAsia="黑体" w:cs="Times New Roman" w:hint="eastAsia"/>
          <w:sz w:val="24"/>
          <w:szCs w:val="24"/>
        </w:rPr>
        <w:t>监控装置</w:t>
      </w:r>
      <w:r>
        <w:rPr>
          <w:rFonts w:ascii="黑体" w:eastAsia="黑体" w:cs="Times New Roman" w:hint="eastAsia"/>
          <w:sz w:val="24"/>
          <w:szCs w:val="24"/>
        </w:rPr>
        <w:t>CAN</w:t>
      </w:r>
      <w:r>
        <w:rPr>
          <w:rFonts w:ascii="黑体" w:eastAsia="黑体" w:cs="Times New Roman" w:hint="eastAsia"/>
          <w:sz w:val="24"/>
          <w:szCs w:val="24"/>
        </w:rPr>
        <w:t>总线结构</w:t>
      </w:r>
    </w:p>
    <w:p w:rsidR="00923982" w:rsidRDefault="00E64AD9">
      <w:pPr>
        <w:pStyle w:val="CMMI074"/>
        <w:ind w:firstLine="0"/>
        <w:rPr>
          <w:rFonts w:ascii="黑体" w:eastAsia="黑体" w:cs="Times New Roman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ascii="宋体" w:hAnsi="宋体" w:cs="Times New Roman" w:hint="eastAsia"/>
          <w:szCs w:val="21"/>
        </w:rPr>
        <w:t xml:space="preserve">   LKJ</w:t>
      </w:r>
      <w:r>
        <w:rPr>
          <w:rFonts w:ascii="宋体" w:hAnsi="宋体" w:cs="Times New Roman" w:hint="eastAsia"/>
          <w:szCs w:val="21"/>
        </w:rPr>
        <w:t>监控装置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通信分为内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总线和外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总线。内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总线是监控主机内部插件和显示器之间的信息通道；外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总线是监控装置和其他外围设备（比如：无线传输主机等）的信息通道。内、外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总线之间通过扩展通信插件进行信息转换。典型监控装置内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总线结构，见</w:t>
      </w:r>
      <w:fldSimple w:instr=" REF _Ref261356207 \h  \* MERGEFORMAT ">
        <w:r>
          <w:rPr>
            <w:rFonts w:ascii="宋体" w:hAnsi="宋体" w:cs="Times New Roman" w:hint="eastAsia"/>
            <w:szCs w:val="21"/>
          </w:rPr>
          <w:t>图</w:t>
        </w:r>
        <w:r>
          <w:rPr>
            <w:rFonts w:ascii="宋体" w:hAnsi="宋体" w:cs="Times New Roman" w:hint="eastAsia"/>
            <w:szCs w:val="21"/>
          </w:rPr>
          <w:t xml:space="preserve"> </w:t>
        </w:r>
        <w:r>
          <w:rPr>
            <w:rFonts w:ascii="宋体" w:hAnsi="宋体" w:cs="Times New Roman"/>
            <w:szCs w:val="21"/>
          </w:rPr>
          <w:t>1</w:t>
        </w:r>
      </w:fldSimple>
      <w:r>
        <w:rPr>
          <w:rFonts w:ascii="宋体" w:hAnsi="宋体" w:cs="Times New Roman" w:hint="eastAsia"/>
          <w:szCs w:val="21"/>
        </w:rPr>
        <w:t>。</w:t>
      </w:r>
    </w:p>
    <w:p w:rsidR="00923982" w:rsidRDefault="00923982">
      <w:pPr>
        <w:jc w:val="center"/>
        <w:rPr>
          <w:rFonts w:ascii="宋体" w:hAnsi="宋体"/>
          <w:kern w:val="0"/>
        </w:rPr>
      </w:pPr>
      <w:r w:rsidRPr="00923982">
        <w:rPr>
          <w:rFonts w:ascii="宋体" w:hAnsi="宋体" w:hint="eastAsia"/>
          <w:kern w:val="0"/>
        </w:rPr>
        <w:object w:dxaOrig="7548" w:dyaOrig="1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5pt;height:78.5pt" o:ole="">
            <v:imagedata r:id="rId7" o:title=""/>
          </v:shape>
          <o:OLEObject Type="Embed" ProgID="Visio.Drawing.11" ShapeID="_x0000_i1025" DrawAspect="Content" ObjectID="_1569677591" r:id="rId8"/>
        </w:object>
      </w:r>
    </w:p>
    <w:p w:rsidR="00923982" w:rsidRDefault="00E64AD9">
      <w:pPr>
        <w:pStyle w:val="aa"/>
        <w:rPr>
          <w:rFonts w:ascii="Times New Roman" w:eastAsia="宋体" w:hAnsi="Times New Roman"/>
          <w:b w:val="0"/>
          <w:sz w:val="21"/>
        </w:rPr>
      </w:pPr>
      <w:bookmarkStart w:id="3" w:name="_Ref261356207"/>
      <w:r>
        <w:rPr>
          <w:rFonts w:ascii="Times New Roman" w:eastAsia="宋体" w:hAnsi="Times New Roman" w:hint="eastAsia"/>
          <w:b w:val="0"/>
          <w:sz w:val="21"/>
        </w:rPr>
        <w:t>图</w:t>
      </w:r>
      <w:r>
        <w:rPr>
          <w:rFonts w:ascii="Times New Roman" w:eastAsia="宋体" w:hAnsi="Times New Roman" w:hint="eastAsia"/>
          <w:b w:val="0"/>
          <w:sz w:val="21"/>
        </w:rPr>
        <w:t xml:space="preserve"> </w:t>
      </w:r>
      <w:r w:rsidR="00923982">
        <w:rPr>
          <w:rFonts w:ascii="Times New Roman" w:eastAsia="宋体" w:hAnsi="Times New Roman"/>
          <w:b w:val="0"/>
          <w:sz w:val="21"/>
        </w:rPr>
        <w:fldChar w:fldCharType="begin"/>
      </w:r>
      <w:r>
        <w:rPr>
          <w:rFonts w:ascii="Times New Roman" w:eastAsia="宋体" w:hAnsi="Times New Roman"/>
          <w:b w:val="0"/>
          <w:sz w:val="21"/>
        </w:rPr>
        <w:instrText xml:space="preserve"> </w:instrText>
      </w:r>
      <w:r>
        <w:rPr>
          <w:rFonts w:ascii="Times New Roman" w:eastAsia="宋体" w:hAnsi="Times New Roman" w:hint="eastAsia"/>
          <w:b w:val="0"/>
          <w:sz w:val="21"/>
        </w:rPr>
        <w:instrText xml:space="preserve">SEQ </w:instrText>
      </w:r>
      <w:r>
        <w:rPr>
          <w:rFonts w:ascii="Times New Roman" w:eastAsia="宋体" w:hAnsi="Times New Roman" w:hint="eastAsia"/>
          <w:b w:val="0"/>
          <w:sz w:val="21"/>
        </w:rPr>
        <w:instrText>图</w:instrText>
      </w:r>
      <w:r>
        <w:rPr>
          <w:rFonts w:ascii="Times New Roman" w:eastAsia="宋体" w:hAnsi="Times New Roman" w:hint="eastAsia"/>
          <w:b w:val="0"/>
          <w:sz w:val="21"/>
        </w:rPr>
        <w:instrText xml:space="preserve"> \* ARABIC</w:instrText>
      </w:r>
      <w:r>
        <w:rPr>
          <w:rFonts w:ascii="Times New Roman" w:eastAsia="宋体" w:hAnsi="Times New Roman"/>
          <w:b w:val="0"/>
          <w:sz w:val="21"/>
        </w:rPr>
        <w:instrText xml:space="preserve"> </w:instrText>
      </w:r>
      <w:r w:rsidR="00923982">
        <w:rPr>
          <w:rFonts w:ascii="Times New Roman" w:eastAsia="宋体" w:hAnsi="Times New Roman"/>
          <w:b w:val="0"/>
          <w:sz w:val="21"/>
        </w:rPr>
        <w:fldChar w:fldCharType="separate"/>
      </w:r>
      <w:r>
        <w:rPr>
          <w:rFonts w:ascii="Times New Roman" w:eastAsia="宋体" w:hAnsi="Times New Roman"/>
          <w:b w:val="0"/>
          <w:sz w:val="21"/>
        </w:rPr>
        <w:t>1</w:t>
      </w:r>
      <w:r w:rsidR="00923982">
        <w:rPr>
          <w:rFonts w:ascii="Times New Roman" w:eastAsia="宋体" w:hAnsi="Times New Roman"/>
          <w:b w:val="0"/>
          <w:sz w:val="21"/>
        </w:rPr>
        <w:fldChar w:fldCharType="end"/>
      </w:r>
      <w:bookmarkEnd w:id="3"/>
      <w:r>
        <w:rPr>
          <w:rFonts w:ascii="Times New Roman" w:eastAsia="宋体" w:hAnsi="Times New Roman" w:hint="eastAsia"/>
          <w:b w:val="0"/>
          <w:sz w:val="21"/>
        </w:rPr>
        <w:t>带扩展通信插件监控装置内</w:t>
      </w:r>
      <w:r>
        <w:rPr>
          <w:rFonts w:ascii="Times New Roman" w:eastAsia="宋体" w:hAnsi="Times New Roman" w:hint="eastAsia"/>
          <w:b w:val="0"/>
          <w:sz w:val="21"/>
        </w:rPr>
        <w:t>CAN</w:t>
      </w:r>
      <w:r>
        <w:rPr>
          <w:rFonts w:ascii="Times New Roman" w:eastAsia="宋体" w:hAnsi="Times New Roman" w:hint="eastAsia"/>
          <w:b w:val="0"/>
          <w:sz w:val="21"/>
        </w:rPr>
        <w:t>总线结构</w:t>
      </w:r>
    </w:p>
    <w:p w:rsidR="00923982" w:rsidRDefault="00923982">
      <w:pPr>
        <w:pStyle w:val="CMMI074"/>
        <w:ind w:firstLine="0"/>
        <w:rPr>
          <w:rFonts w:ascii="黑体" w:eastAsia="黑体" w:hAnsi="黑体"/>
          <w:b/>
          <w:szCs w:val="21"/>
        </w:rPr>
      </w:pPr>
    </w:p>
    <w:p w:rsidR="00923982" w:rsidRDefault="00E64AD9">
      <w:pPr>
        <w:pStyle w:val="CMMI074"/>
        <w:ind w:firstLine="0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Times New Roman" w:hint="eastAsia"/>
          <w:sz w:val="24"/>
          <w:szCs w:val="24"/>
        </w:rPr>
        <w:t xml:space="preserve">3 </w:t>
      </w:r>
      <w:r>
        <w:rPr>
          <w:rFonts w:ascii="黑体" w:eastAsia="黑体" w:cs="Times New Roman" w:hint="eastAsia"/>
          <w:sz w:val="24"/>
          <w:szCs w:val="24"/>
        </w:rPr>
        <w:t>失效原因分析</w:t>
      </w:r>
    </w:p>
    <w:p w:rsidR="00923982" w:rsidRDefault="00E64AD9">
      <w:pPr>
        <w:pStyle w:val="CMMI074"/>
        <w:ind w:firstLine="0"/>
        <w:rPr>
          <w:rFonts w:ascii="宋体" w:hAnsi="宋体" w:cs="Times New Roman"/>
          <w:szCs w:val="21"/>
        </w:rPr>
      </w:pPr>
      <w:r>
        <w:rPr>
          <w:rFonts w:hint="eastAsia"/>
        </w:rPr>
        <w:t xml:space="preserve"> </w:t>
      </w:r>
      <w:r>
        <w:rPr>
          <w:rFonts w:ascii="宋体" w:hAnsi="宋体" w:cs="Times New Roman" w:hint="eastAsia"/>
          <w:szCs w:val="21"/>
        </w:rPr>
        <w:t xml:space="preserve">   </w:t>
      </w:r>
      <w:r>
        <w:rPr>
          <w:rFonts w:ascii="宋体" w:hAnsi="宋体" w:cs="Times New Roman"/>
          <w:szCs w:val="21"/>
        </w:rPr>
        <w:t>经过对失效机车的设备进行一系列分析，得出故障是由</w:t>
      </w:r>
      <w:r>
        <w:rPr>
          <w:rFonts w:ascii="宋体" w:hAnsi="宋体" w:cs="Times New Roman"/>
          <w:szCs w:val="21"/>
        </w:rPr>
        <w:t>CAN</w:t>
      </w:r>
      <w:r>
        <w:rPr>
          <w:rFonts w:ascii="宋体" w:hAnsi="宋体" w:cs="Times New Roman"/>
          <w:szCs w:val="21"/>
        </w:rPr>
        <w:t>通信质量不佳引起。</w:t>
      </w:r>
      <w:r>
        <w:rPr>
          <w:rFonts w:ascii="宋体" w:hAnsi="宋体" w:cs="Times New Roman" w:hint="eastAsia"/>
          <w:szCs w:val="21"/>
        </w:rPr>
        <w:t>影响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通信的质量的重要因素为总线信号幅值和波形边沿特性（上升沿、下降沿延时）。总线信号幅值过低会引起接口芯片传输错误，波形的边沿特性会影响波形采样的正确性。</w:t>
      </w:r>
    </w:p>
    <w:p w:rsidR="00923982" w:rsidRDefault="00E64AD9">
      <w:pPr>
        <w:pStyle w:val="CMMI074"/>
        <w:ind w:firstLine="0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Times New Roman" w:hint="eastAsia"/>
          <w:sz w:val="24"/>
          <w:szCs w:val="24"/>
        </w:rPr>
        <w:t>3.1  CAN</w:t>
      </w:r>
      <w:r>
        <w:rPr>
          <w:rFonts w:ascii="黑体" w:eastAsia="黑体" w:cs="Times New Roman" w:hint="eastAsia"/>
          <w:sz w:val="24"/>
          <w:szCs w:val="24"/>
        </w:rPr>
        <w:t>总线电源分析</w:t>
      </w:r>
    </w:p>
    <w:p w:rsidR="00923982" w:rsidRDefault="00E64AD9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对设备单机时测试系统供电电源及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总线电源，测试情况如表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。</w:t>
      </w:r>
    </w:p>
    <w:p w:rsidR="00923982" w:rsidRDefault="00E64AD9">
      <w:pPr>
        <w:pStyle w:val="a3"/>
        <w:spacing w:line="360" w:lineRule="auto"/>
        <w:jc w:val="center"/>
        <w:rPr>
          <w:rFonts w:ascii="Times New Roman" w:eastAsia="宋体" w:hAnsi="Times New Roman" w:cs="Times New Roman"/>
          <w:sz w:val="21"/>
          <w:szCs w:val="24"/>
        </w:rPr>
      </w:pPr>
      <w:r>
        <w:rPr>
          <w:rFonts w:ascii="Times New Roman" w:eastAsia="宋体" w:hAnsi="Times New Roman" w:cs="Times New Roman" w:hint="eastAsia"/>
          <w:sz w:val="21"/>
          <w:szCs w:val="24"/>
        </w:rPr>
        <w:t>表</w:t>
      </w:r>
      <w:r>
        <w:rPr>
          <w:rFonts w:ascii="Times New Roman" w:eastAsia="宋体" w:hAnsi="Times New Roman" w:cs="Times New Roman" w:hint="eastAsia"/>
          <w:sz w:val="21"/>
          <w:szCs w:val="24"/>
        </w:rPr>
        <w:t xml:space="preserve"> 1 </w:t>
      </w:r>
      <w:r>
        <w:rPr>
          <w:rFonts w:ascii="Times New Roman" w:eastAsia="宋体" w:hAnsi="Times New Roman" w:cs="Times New Roman" w:hint="eastAsia"/>
          <w:sz w:val="21"/>
          <w:szCs w:val="24"/>
        </w:rPr>
        <w:t>系统供电电源及</w:t>
      </w:r>
      <w:r>
        <w:rPr>
          <w:rFonts w:ascii="Times New Roman" w:eastAsia="宋体" w:hAnsi="Times New Roman" w:cs="Times New Roman" w:hint="eastAsia"/>
          <w:sz w:val="21"/>
          <w:szCs w:val="24"/>
        </w:rPr>
        <w:t>CAN</w:t>
      </w:r>
      <w:r>
        <w:rPr>
          <w:rFonts w:ascii="Times New Roman" w:eastAsia="宋体" w:hAnsi="Times New Roman" w:cs="Times New Roman" w:hint="eastAsia"/>
          <w:sz w:val="21"/>
          <w:szCs w:val="24"/>
        </w:rPr>
        <w:t>总线电源测试表</w:t>
      </w:r>
    </w:p>
    <w:tbl>
      <w:tblPr>
        <w:tblW w:w="7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1800"/>
        <w:gridCol w:w="1418"/>
      </w:tblGrid>
      <w:tr w:rsidR="00923982">
        <w:trPr>
          <w:jc w:val="center"/>
        </w:trPr>
        <w:tc>
          <w:tcPr>
            <w:tcW w:w="4248" w:type="dxa"/>
          </w:tcPr>
          <w:p w:rsidR="00923982" w:rsidRDefault="00E64AD9">
            <w:pPr>
              <w:jc w:val="center"/>
            </w:pPr>
            <w:r>
              <w:rPr>
                <w:rFonts w:hint="eastAsia"/>
              </w:rPr>
              <w:t>测试条件</w:t>
            </w:r>
          </w:p>
        </w:tc>
        <w:tc>
          <w:tcPr>
            <w:tcW w:w="1800" w:type="dxa"/>
          </w:tcPr>
          <w:p w:rsidR="00923982" w:rsidRDefault="00E64AD9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1418" w:type="dxa"/>
          </w:tcPr>
          <w:p w:rsidR="00923982" w:rsidRDefault="00E64AD9">
            <w:pPr>
              <w:jc w:val="center"/>
            </w:pPr>
            <w:r>
              <w:rPr>
                <w:rFonts w:hint="eastAsia"/>
              </w:rPr>
              <w:t>测试结果</w:t>
            </w:r>
          </w:p>
        </w:tc>
      </w:tr>
      <w:tr w:rsidR="00923982">
        <w:trPr>
          <w:jc w:val="center"/>
        </w:trPr>
        <w:tc>
          <w:tcPr>
            <w:tcW w:w="4248" w:type="dxa"/>
          </w:tcPr>
          <w:p w:rsidR="00923982" w:rsidRDefault="00E64AD9">
            <w:r>
              <w:rPr>
                <w:rFonts w:hint="eastAsia"/>
              </w:rPr>
              <w:t>整机</w:t>
            </w:r>
          </w:p>
        </w:tc>
        <w:tc>
          <w:tcPr>
            <w:tcW w:w="1800" w:type="dxa"/>
          </w:tcPr>
          <w:p w:rsidR="00923982" w:rsidRDefault="00E64AD9">
            <w:r>
              <w:rPr>
                <w:rFonts w:hint="eastAsia"/>
              </w:rPr>
              <w:t>系统供电电源</w:t>
            </w:r>
          </w:p>
        </w:tc>
        <w:tc>
          <w:tcPr>
            <w:tcW w:w="1418" w:type="dxa"/>
          </w:tcPr>
          <w:p w:rsidR="00923982" w:rsidRDefault="00E64AD9">
            <w:r>
              <w:rPr>
                <w:rFonts w:hint="eastAsia"/>
              </w:rPr>
              <w:t>4.92V</w:t>
            </w:r>
          </w:p>
        </w:tc>
      </w:tr>
      <w:tr w:rsidR="00923982">
        <w:trPr>
          <w:jc w:val="center"/>
        </w:trPr>
        <w:tc>
          <w:tcPr>
            <w:tcW w:w="4248" w:type="dxa"/>
          </w:tcPr>
          <w:p w:rsidR="00923982" w:rsidRDefault="00E64AD9">
            <w:r>
              <w:rPr>
                <w:rFonts w:hint="eastAsia"/>
              </w:rPr>
              <w:t>从整机到拔取任何一个与</w:t>
            </w:r>
            <w:r>
              <w:rPr>
                <w:rFonts w:hint="eastAsia"/>
              </w:rPr>
              <w:t>CAN</w:t>
            </w:r>
            <w:r>
              <w:rPr>
                <w:rFonts w:hint="eastAsia"/>
              </w:rPr>
              <w:t>有关的插件</w:t>
            </w:r>
          </w:p>
        </w:tc>
        <w:tc>
          <w:tcPr>
            <w:tcW w:w="1800" w:type="dxa"/>
          </w:tcPr>
          <w:p w:rsidR="00923982" w:rsidRDefault="00E64AD9">
            <w:r>
              <w:rPr>
                <w:rFonts w:hint="eastAsia"/>
              </w:rPr>
              <w:t>CANA</w:t>
            </w:r>
            <w:r>
              <w:rPr>
                <w:rFonts w:hint="eastAsia"/>
              </w:rPr>
              <w:t>电源</w:t>
            </w:r>
          </w:p>
        </w:tc>
        <w:tc>
          <w:tcPr>
            <w:tcW w:w="1418" w:type="dxa"/>
          </w:tcPr>
          <w:p w:rsidR="00923982" w:rsidRDefault="00E64AD9">
            <w:r>
              <w:rPr>
                <w:rFonts w:hint="eastAsia"/>
              </w:rPr>
              <w:t>5.08~5.33V</w:t>
            </w:r>
          </w:p>
        </w:tc>
      </w:tr>
      <w:tr w:rsidR="00923982">
        <w:trPr>
          <w:jc w:val="center"/>
        </w:trPr>
        <w:tc>
          <w:tcPr>
            <w:tcW w:w="4248" w:type="dxa"/>
          </w:tcPr>
          <w:p w:rsidR="00923982" w:rsidRDefault="00E64AD9">
            <w:r>
              <w:rPr>
                <w:rFonts w:hint="eastAsia"/>
              </w:rPr>
              <w:t>从整机到拔取任何一个与</w:t>
            </w:r>
            <w:r>
              <w:rPr>
                <w:rFonts w:hint="eastAsia"/>
              </w:rPr>
              <w:t>CAN</w:t>
            </w:r>
            <w:r>
              <w:rPr>
                <w:rFonts w:hint="eastAsia"/>
              </w:rPr>
              <w:t>有关的插件</w:t>
            </w:r>
          </w:p>
        </w:tc>
        <w:tc>
          <w:tcPr>
            <w:tcW w:w="1800" w:type="dxa"/>
          </w:tcPr>
          <w:p w:rsidR="00923982" w:rsidRDefault="00E64AD9">
            <w:r>
              <w:rPr>
                <w:rFonts w:hint="eastAsia"/>
              </w:rPr>
              <w:t>CANB</w:t>
            </w:r>
            <w:r>
              <w:rPr>
                <w:rFonts w:hint="eastAsia"/>
              </w:rPr>
              <w:t>电源</w:t>
            </w:r>
          </w:p>
        </w:tc>
        <w:tc>
          <w:tcPr>
            <w:tcW w:w="1418" w:type="dxa"/>
          </w:tcPr>
          <w:p w:rsidR="00923982" w:rsidRDefault="00E64AD9">
            <w:pPr>
              <w:keepNext/>
            </w:pPr>
            <w:r>
              <w:rPr>
                <w:rFonts w:hint="eastAsia"/>
              </w:rPr>
              <w:t>5.05~5.36V</w:t>
            </w:r>
          </w:p>
        </w:tc>
      </w:tr>
      <w:tr w:rsidR="00923982">
        <w:trPr>
          <w:jc w:val="center"/>
        </w:trPr>
        <w:tc>
          <w:tcPr>
            <w:tcW w:w="4248" w:type="dxa"/>
          </w:tcPr>
          <w:p w:rsidR="00923982" w:rsidRDefault="00E64AD9">
            <w:r>
              <w:rPr>
                <w:rFonts w:hint="eastAsia"/>
              </w:rPr>
              <w:t>在频繁记录单机时</w:t>
            </w:r>
          </w:p>
        </w:tc>
        <w:tc>
          <w:tcPr>
            <w:tcW w:w="1800" w:type="dxa"/>
          </w:tcPr>
          <w:p w:rsidR="00923982" w:rsidRDefault="00E64AD9">
            <w:r>
              <w:rPr>
                <w:rFonts w:hint="eastAsia"/>
              </w:rPr>
              <w:t>看门狗单机电压</w:t>
            </w:r>
          </w:p>
        </w:tc>
        <w:tc>
          <w:tcPr>
            <w:tcW w:w="1418" w:type="dxa"/>
          </w:tcPr>
          <w:p w:rsidR="00923982" w:rsidRDefault="00E64AD9">
            <w:pPr>
              <w:keepNext/>
            </w:pPr>
            <w:r>
              <w:rPr>
                <w:rFonts w:hint="eastAsia"/>
              </w:rPr>
              <w:t>4.90V</w:t>
            </w:r>
            <w:r>
              <w:rPr>
                <w:rFonts w:hint="eastAsia"/>
              </w:rPr>
              <w:t>以上</w:t>
            </w:r>
          </w:p>
        </w:tc>
      </w:tr>
    </w:tbl>
    <w:p w:rsidR="00923982" w:rsidRDefault="00E64AD9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主机系统电源稳定，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总线供电电源稳定。完全可以排除电源引起单机的怀疑。</w:t>
      </w:r>
    </w:p>
    <w:p w:rsidR="00923982" w:rsidRDefault="00E64AD9">
      <w:pPr>
        <w:pStyle w:val="CMMI074"/>
        <w:ind w:firstLine="0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Times New Roman" w:hint="eastAsia"/>
          <w:sz w:val="24"/>
          <w:szCs w:val="24"/>
        </w:rPr>
        <w:lastRenderedPageBreak/>
        <w:t>3.2 CAN</w:t>
      </w:r>
      <w:r>
        <w:rPr>
          <w:rFonts w:ascii="黑体" w:eastAsia="黑体" w:cs="Times New Roman" w:hint="eastAsia"/>
          <w:sz w:val="24"/>
          <w:szCs w:val="24"/>
        </w:rPr>
        <w:t>终端电阻分析</w:t>
      </w:r>
    </w:p>
    <w:p w:rsidR="00923982" w:rsidRDefault="00E64AD9">
      <w:pPr>
        <w:pStyle w:val="CMMI074"/>
        <w:ind w:firstLine="0"/>
      </w:pPr>
      <w:r>
        <w:rPr>
          <w:rFonts w:hint="eastAsia"/>
        </w:rPr>
        <w:t xml:space="preserve"> </w:t>
      </w:r>
      <w:r>
        <w:rPr>
          <w:rFonts w:ascii="宋体" w:hAnsi="宋体" w:cs="Times New Roman" w:hint="eastAsia"/>
          <w:szCs w:val="21"/>
        </w:rPr>
        <w:t xml:space="preserve">   </w:t>
      </w:r>
      <w:r>
        <w:rPr>
          <w:rFonts w:ascii="宋体" w:hAnsi="宋体" w:cs="Times New Roman" w:hint="eastAsia"/>
          <w:szCs w:val="21"/>
        </w:rPr>
        <w:t>在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总线通讯中，终端电阻具有匹配总线阻抗，抑制终端信号反射，维持通讯稳定的作用。过高或者的总线终端电阻都会造成总线阻抗失衡，使得信号波形失真，引起通讯故障。</w:t>
      </w:r>
    </w:p>
    <w:p w:rsidR="00923982" w:rsidRDefault="00E64AD9">
      <w:pPr>
        <w:pStyle w:val="CMMI074"/>
        <w:ind w:firstLine="0"/>
      </w:pPr>
      <w:r>
        <w:rPr>
          <w:rFonts w:hint="eastAsia"/>
        </w:rPr>
        <w:t xml:space="preserve"> </w:t>
      </w:r>
      <w:r>
        <w:rPr>
          <w:rFonts w:ascii="宋体" w:hAnsi="宋体" w:cs="Times New Roman" w:hint="eastAsia"/>
          <w:szCs w:val="21"/>
        </w:rPr>
        <w:t xml:space="preserve">   </w:t>
      </w:r>
      <w:r>
        <w:rPr>
          <w:rFonts w:ascii="宋体" w:hAnsi="宋体" w:cs="Times New Roman" w:hint="eastAsia"/>
          <w:szCs w:val="21"/>
        </w:rPr>
        <w:t>根据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控制芯片数据手册，总线信号显性位时，波形显性位幅值</w:t>
      </w:r>
      <w:r>
        <w:rPr>
          <w:rFonts w:ascii="宋体" w:hAnsi="宋体" w:cs="Times New Roman" w:hint="eastAsia"/>
          <w:szCs w:val="21"/>
        </w:rPr>
        <w:t>VDIFF(D)</w:t>
      </w:r>
      <w:r>
        <w:rPr>
          <w:rFonts w:ascii="宋体" w:hAnsi="宋体" w:cs="Times New Roman" w:hint="eastAsia"/>
          <w:szCs w:val="21"/>
        </w:rPr>
        <w:t>应当大于</w:t>
      </w:r>
      <w:r>
        <w:rPr>
          <w:rFonts w:ascii="宋体" w:hAnsi="宋体" w:cs="Times New Roman" w:hint="eastAsia"/>
          <w:szCs w:val="21"/>
        </w:rPr>
        <w:t>1.0V</w:t>
      </w:r>
      <w:r>
        <w:rPr>
          <w:rFonts w:ascii="宋体" w:hAnsi="宋体" w:cs="Times New Roman" w:hint="eastAsia"/>
          <w:szCs w:val="21"/>
        </w:rPr>
        <w:t>。对幅值影响最大的因素为终端电阻，当终端电阻增大时，信号幅值提</w:t>
      </w:r>
      <w:r>
        <w:rPr>
          <w:rFonts w:ascii="宋体" w:hAnsi="宋体" w:cs="Times New Roman" w:hint="eastAsia"/>
          <w:szCs w:val="21"/>
        </w:rPr>
        <w:t>高，当终端电阻减小时，信号幅值降低。理论计算值，总线上并联</w:t>
      </w:r>
      <w:r>
        <w:rPr>
          <w:rFonts w:ascii="宋体" w:hAnsi="宋体" w:cs="Times New Roman" w:hint="eastAsia"/>
          <w:szCs w:val="21"/>
        </w:rPr>
        <w:t>4</w:t>
      </w:r>
      <w:r>
        <w:rPr>
          <w:rFonts w:ascii="宋体" w:hAnsi="宋体" w:cs="Times New Roman" w:hint="eastAsia"/>
          <w:szCs w:val="21"/>
        </w:rPr>
        <w:t>个</w:t>
      </w:r>
      <w:r>
        <w:rPr>
          <w:rFonts w:ascii="宋体" w:hAnsi="宋体" w:cs="Times New Roman" w:hint="eastAsia"/>
          <w:szCs w:val="21"/>
        </w:rPr>
        <w:t>120</w:t>
      </w:r>
      <w:r>
        <w:rPr>
          <w:rFonts w:ascii="宋体" w:hAnsi="宋体" w:cs="Times New Roman" w:hint="eastAsia"/>
          <w:szCs w:val="21"/>
        </w:rPr>
        <w:t>Ω的终端电阻（总线上的总阻抗为</w:t>
      </w:r>
      <w:r>
        <w:rPr>
          <w:rFonts w:ascii="宋体" w:hAnsi="宋体" w:cs="Times New Roman" w:hint="eastAsia"/>
          <w:szCs w:val="21"/>
        </w:rPr>
        <w:t>30</w:t>
      </w:r>
      <w:r>
        <w:rPr>
          <w:rFonts w:ascii="宋体" w:hAnsi="宋体" w:cs="Times New Roman" w:hint="eastAsia"/>
          <w:szCs w:val="21"/>
        </w:rPr>
        <w:t>Ω）时，波形显性位幅值</w:t>
      </w:r>
      <w:r>
        <w:rPr>
          <w:rFonts w:ascii="宋体" w:hAnsi="宋体" w:cs="Times New Roman" w:hint="eastAsia"/>
          <w:szCs w:val="21"/>
        </w:rPr>
        <w:t>VDIFF(D)</w:t>
      </w:r>
      <w:r>
        <w:rPr>
          <w:rFonts w:ascii="宋体" w:hAnsi="宋体" w:cs="Times New Roman" w:hint="eastAsia"/>
          <w:szCs w:val="21"/>
        </w:rPr>
        <w:t>约为</w:t>
      </w:r>
      <w:r>
        <w:rPr>
          <w:rFonts w:ascii="宋体" w:hAnsi="宋体" w:cs="Times New Roman" w:hint="eastAsia"/>
          <w:szCs w:val="21"/>
        </w:rPr>
        <w:t>1.6V</w:t>
      </w:r>
      <w:r>
        <w:rPr>
          <w:rFonts w:ascii="宋体" w:hAnsi="宋体" w:cs="Times New Roman" w:hint="eastAsia"/>
          <w:szCs w:val="21"/>
        </w:rPr>
        <w:t>。试验室环境下，并联</w:t>
      </w:r>
      <w:r>
        <w:rPr>
          <w:rFonts w:ascii="宋体" w:hAnsi="宋体" w:cs="Times New Roman" w:hint="eastAsia"/>
          <w:szCs w:val="21"/>
        </w:rPr>
        <w:t>4</w:t>
      </w:r>
      <w:r>
        <w:rPr>
          <w:rFonts w:ascii="宋体" w:hAnsi="宋体" w:cs="Times New Roman" w:hint="eastAsia"/>
          <w:szCs w:val="21"/>
        </w:rPr>
        <w:t>个</w:t>
      </w:r>
      <w:r>
        <w:rPr>
          <w:rFonts w:ascii="宋体" w:hAnsi="宋体" w:cs="Times New Roman" w:hint="eastAsia"/>
          <w:szCs w:val="21"/>
        </w:rPr>
        <w:t>120</w:t>
      </w:r>
      <w:r>
        <w:rPr>
          <w:rFonts w:ascii="宋体" w:hAnsi="宋体" w:cs="Times New Roman" w:hint="eastAsia"/>
          <w:szCs w:val="21"/>
        </w:rPr>
        <w:t>Ω的终端电阻，测得波形显性位幅值</w:t>
      </w:r>
      <w:r>
        <w:rPr>
          <w:rFonts w:ascii="宋体" w:hAnsi="宋体" w:cs="Times New Roman" w:hint="eastAsia"/>
          <w:szCs w:val="21"/>
        </w:rPr>
        <w:t>VDIFF(D)</w:t>
      </w:r>
      <w:r>
        <w:rPr>
          <w:rFonts w:ascii="宋体" w:hAnsi="宋体" w:cs="Times New Roman" w:hint="eastAsia"/>
          <w:szCs w:val="21"/>
        </w:rPr>
        <w:t>约为</w:t>
      </w:r>
      <w:r>
        <w:rPr>
          <w:rFonts w:ascii="宋体" w:hAnsi="宋体" w:cs="Times New Roman" w:hint="eastAsia"/>
          <w:szCs w:val="21"/>
        </w:rPr>
        <w:t>1.4V</w:t>
      </w:r>
      <w:r>
        <w:rPr>
          <w:rFonts w:ascii="宋体" w:hAnsi="宋体" w:cs="Times New Roman" w:hint="eastAsia"/>
          <w:szCs w:val="21"/>
        </w:rPr>
        <w:t>，见</w:t>
      </w:r>
      <w:fldSimple w:instr=" REF _Ref261356695 \h  \* MERGEFORMAT ">
        <w:r>
          <w:rPr>
            <w:rFonts w:ascii="宋体" w:hAnsi="宋体" w:cs="Times New Roman" w:hint="eastAsia"/>
            <w:szCs w:val="21"/>
          </w:rPr>
          <w:t>图</w:t>
        </w:r>
        <w:r>
          <w:rPr>
            <w:rFonts w:ascii="宋体" w:hAnsi="宋体" w:cs="Times New Roman" w:hint="eastAsia"/>
            <w:szCs w:val="21"/>
          </w:rPr>
          <w:t xml:space="preserve"> 2</w:t>
        </w:r>
      </w:fldSimple>
      <w:r>
        <w:rPr>
          <w:rFonts w:ascii="宋体" w:hAnsi="宋体" w:cs="Times New Roman" w:hint="eastAsia"/>
          <w:szCs w:val="21"/>
        </w:rPr>
        <w:t>。</w:t>
      </w:r>
    </w:p>
    <w:p w:rsidR="00923982" w:rsidRDefault="00E64AD9">
      <w:pPr>
        <w:jc w:val="center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hint="eastAsia"/>
          <w:noProof/>
          <w:kern w:val="0"/>
        </w:rPr>
        <w:drawing>
          <wp:inline distT="0" distB="0" distL="0" distR="0">
            <wp:extent cx="3419475" cy="2339975"/>
            <wp:effectExtent l="19050" t="0" r="9246" b="0"/>
            <wp:docPr id="9" name="图片 9" descr="scop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ope_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622" b="7956"/>
                    <a:stretch>
                      <a:fillRect/>
                    </a:stretch>
                  </pic:blipFill>
                  <pic:spPr>
                    <a:xfrm>
                      <a:off x="0" y="0"/>
                      <a:ext cx="3422805" cy="234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982" w:rsidRDefault="00E64AD9">
      <w:pPr>
        <w:pStyle w:val="aa"/>
        <w:rPr>
          <w:rFonts w:ascii="Times New Roman" w:eastAsia="宋体" w:hAnsi="Times New Roman"/>
          <w:b w:val="0"/>
          <w:sz w:val="21"/>
        </w:rPr>
      </w:pPr>
      <w:bookmarkStart w:id="4" w:name="_Ref261356695"/>
      <w:r>
        <w:rPr>
          <w:rFonts w:ascii="Times New Roman" w:eastAsia="宋体" w:hAnsi="Times New Roman" w:hint="eastAsia"/>
          <w:b w:val="0"/>
          <w:sz w:val="21"/>
        </w:rPr>
        <w:t>图</w:t>
      </w:r>
      <w:r>
        <w:rPr>
          <w:rFonts w:ascii="Times New Roman" w:eastAsia="宋体" w:hAnsi="Times New Roman" w:hint="eastAsia"/>
          <w:b w:val="0"/>
          <w:sz w:val="21"/>
        </w:rPr>
        <w:t xml:space="preserve"> </w: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begin"/>
      </w:r>
      <w:r>
        <w:rPr>
          <w:rFonts w:ascii="Times New Roman" w:eastAsia="宋体" w:hAnsi="Times New Roman" w:hint="eastAsia"/>
          <w:b w:val="0"/>
          <w:sz w:val="21"/>
        </w:rPr>
        <w:instrText xml:space="preserve"> SEQ </w:instrText>
      </w:r>
      <w:r>
        <w:rPr>
          <w:rFonts w:ascii="Times New Roman" w:eastAsia="宋体" w:hAnsi="Times New Roman" w:hint="eastAsia"/>
          <w:b w:val="0"/>
          <w:sz w:val="21"/>
        </w:rPr>
        <w:instrText>图</w:instrText>
      </w:r>
      <w:r>
        <w:rPr>
          <w:rFonts w:ascii="Times New Roman" w:eastAsia="宋体" w:hAnsi="Times New Roman" w:hint="eastAsia"/>
          <w:b w:val="0"/>
          <w:sz w:val="21"/>
        </w:rPr>
        <w:instrText xml:space="preserve"> \* ARABIC </w:instrTex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separate"/>
      </w:r>
      <w:r>
        <w:rPr>
          <w:rFonts w:ascii="Times New Roman" w:eastAsia="宋体" w:hAnsi="Times New Roman"/>
          <w:b w:val="0"/>
          <w:sz w:val="21"/>
        </w:rPr>
        <w:t>2</w: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end"/>
      </w:r>
      <w:bookmarkEnd w:id="4"/>
      <w:r>
        <w:rPr>
          <w:rFonts w:ascii="Times New Roman" w:eastAsia="宋体" w:hAnsi="Times New Roman" w:hint="eastAsia"/>
          <w:b w:val="0"/>
          <w:sz w:val="21"/>
        </w:rPr>
        <w:t xml:space="preserve">  </w:t>
      </w:r>
      <w:r>
        <w:rPr>
          <w:rFonts w:ascii="Times New Roman" w:eastAsia="宋体" w:hAnsi="Times New Roman" w:hint="eastAsia"/>
          <w:b w:val="0"/>
          <w:sz w:val="21"/>
        </w:rPr>
        <w:t>试验室</w:t>
      </w:r>
      <w:r>
        <w:rPr>
          <w:rFonts w:ascii="Times New Roman" w:eastAsia="宋体" w:hAnsi="Times New Roman" w:hint="eastAsia"/>
          <w:b w:val="0"/>
          <w:sz w:val="21"/>
        </w:rPr>
        <w:t>4</w:t>
      </w:r>
      <w:r>
        <w:rPr>
          <w:rFonts w:ascii="Times New Roman" w:eastAsia="宋体" w:hAnsi="Times New Roman" w:hint="eastAsia"/>
          <w:b w:val="0"/>
          <w:sz w:val="21"/>
        </w:rPr>
        <w:t>个终端电阻时测得</w:t>
      </w:r>
      <w:r>
        <w:rPr>
          <w:rFonts w:ascii="Times New Roman" w:eastAsia="宋体" w:hAnsi="Times New Roman" w:hint="eastAsia"/>
          <w:b w:val="0"/>
          <w:sz w:val="21"/>
        </w:rPr>
        <w:t>CAN</w:t>
      </w:r>
      <w:r>
        <w:rPr>
          <w:rFonts w:ascii="Times New Roman" w:eastAsia="宋体" w:hAnsi="Times New Roman" w:hint="eastAsia"/>
          <w:b w:val="0"/>
          <w:sz w:val="21"/>
        </w:rPr>
        <w:t>总线波形</w:t>
      </w:r>
    </w:p>
    <w:p w:rsidR="00923982" w:rsidRDefault="00E64AD9">
      <w:pPr>
        <w:pStyle w:val="CMMI074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szCs w:val="21"/>
        </w:rPr>
        <w:t>在机车上实测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信号波形，测得波形显性位幅值</w:t>
      </w:r>
      <w:r>
        <w:rPr>
          <w:rFonts w:ascii="宋体" w:hAnsi="宋体" w:cs="Times New Roman" w:hint="eastAsia"/>
          <w:szCs w:val="21"/>
        </w:rPr>
        <w:t>VDIFF(D)</w:t>
      </w:r>
      <w:r>
        <w:rPr>
          <w:rFonts w:ascii="宋体" w:hAnsi="宋体" w:cs="Times New Roman" w:hint="eastAsia"/>
          <w:szCs w:val="21"/>
        </w:rPr>
        <w:t>约为</w:t>
      </w:r>
      <w:r>
        <w:rPr>
          <w:rFonts w:ascii="宋体" w:hAnsi="宋体" w:cs="Times New Roman" w:hint="eastAsia"/>
          <w:szCs w:val="21"/>
        </w:rPr>
        <w:t>1.2V</w:t>
      </w:r>
      <w:r>
        <w:rPr>
          <w:rFonts w:ascii="宋体" w:hAnsi="宋体" w:cs="Times New Roman" w:hint="eastAsia"/>
          <w:szCs w:val="21"/>
        </w:rPr>
        <w:t>，机车上由于车内环境和机车布线的影响，波形幅值比实验室测得的数据偏低</w:t>
      </w:r>
      <w:r>
        <w:rPr>
          <w:rFonts w:ascii="宋体" w:hAnsi="宋体" w:cs="Times New Roman" w:hint="eastAsia"/>
          <w:szCs w:val="21"/>
        </w:rPr>
        <w:t>0.2V</w:t>
      </w:r>
      <w:r>
        <w:rPr>
          <w:rFonts w:ascii="宋体" w:hAnsi="宋体" w:cs="Times New Roman" w:hint="eastAsia"/>
          <w:szCs w:val="21"/>
        </w:rPr>
        <w:t>左右，见图</w:t>
      </w:r>
      <w:r>
        <w:rPr>
          <w:rFonts w:ascii="宋体" w:hAnsi="宋体" w:cs="Times New Roman" w:hint="eastAsia"/>
          <w:szCs w:val="21"/>
        </w:rPr>
        <w:t>3</w:t>
      </w:r>
      <w:r>
        <w:rPr>
          <w:rFonts w:ascii="宋体" w:hAnsi="宋体" w:cs="Times New Roman" w:hint="eastAsia"/>
          <w:szCs w:val="21"/>
        </w:rPr>
        <w:t>。</w:t>
      </w:r>
    </w:p>
    <w:p w:rsidR="00923982" w:rsidRDefault="00E64AD9">
      <w:pPr>
        <w:jc w:val="center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hint="eastAsia"/>
          <w:noProof/>
          <w:kern w:val="0"/>
        </w:rPr>
        <w:drawing>
          <wp:inline distT="0" distB="0" distL="0" distR="0">
            <wp:extent cx="3396615" cy="203835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9283" cy="20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982" w:rsidRDefault="00E64AD9">
      <w:pPr>
        <w:pStyle w:val="aa"/>
        <w:rPr>
          <w:rFonts w:ascii="Times New Roman" w:eastAsia="宋体" w:hAnsi="Times New Roman"/>
          <w:b w:val="0"/>
          <w:sz w:val="21"/>
        </w:rPr>
      </w:pPr>
      <w:bookmarkStart w:id="5" w:name="_Ref261356818"/>
      <w:r>
        <w:rPr>
          <w:rFonts w:ascii="Times New Roman" w:eastAsia="宋体" w:hAnsi="Times New Roman" w:hint="eastAsia"/>
          <w:b w:val="0"/>
          <w:sz w:val="21"/>
        </w:rPr>
        <w:t>图</w:t>
      </w:r>
      <w:r>
        <w:rPr>
          <w:rFonts w:ascii="Times New Roman" w:eastAsia="宋体" w:hAnsi="Times New Roman" w:hint="eastAsia"/>
          <w:b w:val="0"/>
          <w:sz w:val="21"/>
        </w:rPr>
        <w:t xml:space="preserve"> </w: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begin"/>
      </w:r>
      <w:r>
        <w:rPr>
          <w:rFonts w:ascii="Times New Roman" w:eastAsia="宋体" w:hAnsi="Times New Roman" w:hint="eastAsia"/>
          <w:b w:val="0"/>
          <w:sz w:val="21"/>
        </w:rPr>
        <w:instrText xml:space="preserve"> SEQ </w:instrText>
      </w:r>
      <w:r>
        <w:rPr>
          <w:rFonts w:ascii="Times New Roman" w:eastAsia="宋体" w:hAnsi="Times New Roman" w:hint="eastAsia"/>
          <w:b w:val="0"/>
          <w:sz w:val="21"/>
        </w:rPr>
        <w:instrText>图</w:instrText>
      </w:r>
      <w:r>
        <w:rPr>
          <w:rFonts w:ascii="Times New Roman" w:eastAsia="宋体" w:hAnsi="Times New Roman" w:hint="eastAsia"/>
          <w:b w:val="0"/>
          <w:sz w:val="21"/>
        </w:rPr>
        <w:instrText xml:space="preserve"> \* ARABIC </w:instrTex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separate"/>
      </w:r>
      <w:r>
        <w:rPr>
          <w:rFonts w:ascii="Times New Roman" w:eastAsia="宋体" w:hAnsi="Times New Roman"/>
          <w:b w:val="0"/>
          <w:sz w:val="21"/>
        </w:rPr>
        <w:t>3</w: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end"/>
      </w:r>
      <w:bookmarkEnd w:id="5"/>
      <w:r>
        <w:rPr>
          <w:rFonts w:ascii="Times New Roman" w:eastAsia="宋体" w:hAnsi="Times New Roman" w:hint="eastAsia"/>
          <w:b w:val="0"/>
          <w:sz w:val="21"/>
        </w:rPr>
        <w:t xml:space="preserve"> </w:t>
      </w:r>
      <w:r>
        <w:rPr>
          <w:rFonts w:ascii="Times New Roman" w:eastAsia="宋体" w:hAnsi="Times New Roman" w:hint="eastAsia"/>
          <w:b w:val="0"/>
          <w:sz w:val="21"/>
        </w:rPr>
        <w:t>机车实测</w:t>
      </w:r>
      <w:r>
        <w:rPr>
          <w:rFonts w:ascii="Times New Roman" w:eastAsia="宋体" w:hAnsi="Times New Roman" w:hint="eastAsia"/>
          <w:b w:val="0"/>
          <w:sz w:val="21"/>
        </w:rPr>
        <w:t>CAN</w:t>
      </w:r>
      <w:r>
        <w:rPr>
          <w:rFonts w:ascii="Times New Roman" w:eastAsia="宋体" w:hAnsi="Times New Roman" w:hint="eastAsia"/>
          <w:b w:val="0"/>
          <w:sz w:val="21"/>
        </w:rPr>
        <w:t>总线波形</w:t>
      </w:r>
    </w:p>
    <w:p w:rsidR="00923982" w:rsidRDefault="00E64AD9">
      <w:pPr>
        <w:pStyle w:val="CMMI074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szCs w:val="21"/>
        </w:rPr>
        <w:t>LKJ</w:t>
      </w:r>
      <w:r>
        <w:rPr>
          <w:rFonts w:ascii="宋体" w:hAnsi="宋体" w:cs="Times New Roman" w:hint="eastAsia"/>
          <w:szCs w:val="21"/>
        </w:rPr>
        <w:t>监控装置上的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终端电阻可以通过插件上的终端电阻跨接套进行配置。根据试验，</w:t>
      </w:r>
      <w:r>
        <w:rPr>
          <w:rFonts w:ascii="宋体" w:hAnsi="宋体" w:cs="Times New Roman" w:hint="eastAsia"/>
          <w:szCs w:val="21"/>
        </w:rPr>
        <w:t>LKJ</w:t>
      </w:r>
      <w:r>
        <w:rPr>
          <w:rFonts w:ascii="宋体" w:hAnsi="宋体" w:cs="Times New Roman" w:hint="eastAsia"/>
          <w:szCs w:val="21"/>
        </w:rPr>
        <w:t>监控装置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总线终端电阻为</w:t>
      </w:r>
      <w:r>
        <w:rPr>
          <w:rFonts w:ascii="宋体" w:hAnsi="宋体" w:cs="Times New Roman" w:hint="eastAsia"/>
          <w:szCs w:val="21"/>
        </w:rPr>
        <w:t>30</w:t>
      </w:r>
      <w:r>
        <w:rPr>
          <w:rFonts w:ascii="宋体" w:hAnsi="宋体" w:cs="Times New Roman"/>
          <w:szCs w:val="21"/>
        </w:rPr>
        <w:t>Ω</w:t>
      </w:r>
      <w:r>
        <w:rPr>
          <w:rFonts w:ascii="宋体" w:hAnsi="宋体" w:cs="Times New Roman" w:hint="eastAsia"/>
          <w:szCs w:val="21"/>
        </w:rPr>
        <w:t>时，总线通讯丢帧率为</w:t>
      </w:r>
      <w:r>
        <w:rPr>
          <w:rFonts w:ascii="宋体" w:hAnsi="宋体" w:cs="Times New Roman" w:hint="eastAsia"/>
          <w:szCs w:val="21"/>
        </w:rPr>
        <w:t>0.04%</w:t>
      </w:r>
      <w:r>
        <w:rPr>
          <w:rFonts w:ascii="宋体" w:hAnsi="宋体" w:cs="Times New Roman" w:hint="eastAsia"/>
          <w:szCs w:val="21"/>
        </w:rPr>
        <w:t>；当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总线终端电阻为</w:t>
      </w:r>
      <w:r>
        <w:rPr>
          <w:rFonts w:ascii="宋体" w:hAnsi="宋体" w:cs="Times New Roman" w:hint="eastAsia"/>
          <w:szCs w:val="21"/>
        </w:rPr>
        <w:t>20</w:t>
      </w:r>
      <w:r>
        <w:rPr>
          <w:rFonts w:ascii="宋体" w:hAnsi="宋体" w:cs="Times New Roman"/>
          <w:szCs w:val="21"/>
        </w:rPr>
        <w:t>Ω</w:t>
      </w:r>
      <w:r>
        <w:rPr>
          <w:rFonts w:ascii="宋体" w:hAnsi="宋体" w:cs="Times New Roman" w:hint="eastAsia"/>
          <w:szCs w:val="21"/>
        </w:rPr>
        <w:t>时，总线通讯丢帧率为</w:t>
      </w:r>
      <w:r>
        <w:rPr>
          <w:rFonts w:ascii="宋体" w:hAnsi="宋体" w:cs="Times New Roman" w:hint="eastAsia"/>
          <w:szCs w:val="21"/>
        </w:rPr>
        <w:t>6%</w:t>
      </w:r>
      <w:r>
        <w:rPr>
          <w:rFonts w:ascii="宋体" w:hAnsi="宋体" w:cs="Times New Roman" w:hint="eastAsia"/>
          <w:szCs w:val="21"/>
        </w:rPr>
        <w:t>；当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</w:t>
      </w:r>
      <w:r>
        <w:rPr>
          <w:rFonts w:ascii="宋体" w:hAnsi="宋体" w:cs="Times New Roman" w:hint="eastAsia"/>
          <w:szCs w:val="21"/>
        </w:rPr>
        <w:t>终端电阻为</w:t>
      </w:r>
      <w:r>
        <w:rPr>
          <w:rFonts w:ascii="宋体" w:hAnsi="宋体" w:cs="Times New Roman" w:hint="eastAsia"/>
          <w:szCs w:val="21"/>
        </w:rPr>
        <w:t>60</w:t>
      </w:r>
      <w:r>
        <w:rPr>
          <w:rFonts w:ascii="宋体" w:hAnsi="宋体" w:cs="Times New Roman"/>
          <w:szCs w:val="21"/>
        </w:rPr>
        <w:t>Ω</w:t>
      </w:r>
      <w:r>
        <w:rPr>
          <w:rFonts w:ascii="宋体" w:hAnsi="宋体" w:cs="Times New Roman" w:hint="eastAsia"/>
          <w:szCs w:val="21"/>
        </w:rPr>
        <w:t>时，总线通讯丢帧率为</w:t>
      </w:r>
      <w:r>
        <w:rPr>
          <w:rFonts w:ascii="宋体" w:hAnsi="宋体" w:cs="Times New Roman" w:hint="eastAsia"/>
          <w:szCs w:val="21"/>
        </w:rPr>
        <w:lastRenderedPageBreak/>
        <w:t>4%</w:t>
      </w:r>
      <w:r>
        <w:rPr>
          <w:rFonts w:ascii="宋体" w:hAnsi="宋体" w:cs="Times New Roman" w:hint="eastAsia"/>
          <w:szCs w:val="21"/>
        </w:rPr>
        <w:t>。通过多次试验发现，当</w:t>
      </w:r>
      <w:r>
        <w:rPr>
          <w:rFonts w:ascii="宋体" w:hAnsi="宋体" w:cs="Times New Roman" w:hint="eastAsia"/>
          <w:szCs w:val="21"/>
        </w:rPr>
        <w:t>LKJ</w:t>
      </w:r>
      <w:r>
        <w:rPr>
          <w:rFonts w:ascii="宋体" w:hAnsi="宋体" w:cs="Times New Roman" w:hint="eastAsia"/>
          <w:szCs w:val="21"/>
        </w:rPr>
        <w:t>监控装置终端电阻为</w:t>
      </w:r>
      <w:r>
        <w:rPr>
          <w:rFonts w:ascii="宋体" w:hAnsi="宋体" w:cs="Times New Roman" w:hint="eastAsia"/>
          <w:szCs w:val="21"/>
        </w:rPr>
        <w:t>30</w:t>
      </w:r>
      <w:r>
        <w:rPr>
          <w:rFonts w:ascii="宋体" w:hAnsi="宋体" w:cs="Times New Roman"/>
          <w:szCs w:val="21"/>
        </w:rPr>
        <w:t>Ω</w:t>
      </w:r>
      <w:r>
        <w:rPr>
          <w:rFonts w:ascii="宋体" w:hAnsi="宋体" w:cs="Times New Roman" w:hint="eastAsia"/>
          <w:szCs w:val="21"/>
        </w:rPr>
        <w:t>，总线丢帧率最低，就有较好的效果。</w:t>
      </w:r>
    </w:p>
    <w:p w:rsidR="00923982" w:rsidRDefault="00E64AD9">
      <w:pPr>
        <w:pStyle w:val="CMMI074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szCs w:val="21"/>
        </w:rPr>
        <w:t>试验室通过软件配合测试不同的终端电阻对于总线通信的影响，结果见表</w:t>
      </w:r>
      <w:bookmarkStart w:id="6" w:name="_Ref261357029"/>
      <w:bookmarkStart w:id="7" w:name="_Ref261271453"/>
      <w:r>
        <w:rPr>
          <w:rFonts w:ascii="宋体" w:hAnsi="宋体" w:cs="Times New Roman" w:hint="eastAsia"/>
          <w:szCs w:val="21"/>
        </w:rPr>
        <w:t>2</w:t>
      </w:r>
      <w:r>
        <w:rPr>
          <w:rFonts w:ascii="宋体" w:hAnsi="宋体" w:cs="Times New Roman" w:hint="eastAsia"/>
          <w:szCs w:val="21"/>
        </w:rPr>
        <w:t>。</w:t>
      </w:r>
    </w:p>
    <w:p w:rsidR="00923982" w:rsidRDefault="00E64AD9">
      <w:pPr>
        <w:pStyle w:val="aa"/>
        <w:rPr>
          <w:rFonts w:ascii="仿宋_GB2312" w:eastAsia="仿宋_GB2312"/>
        </w:rPr>
      </w:pPr>
      <w:r>
        <w:rPr>
          <w:rFonts w:ascii="Times New Roman" w:eastAsia="宋体" w:hAnsi="Times New Roman" w:hint="eastAsia"/>
          <w:b w:val="0"/>
          <w:sz w:val="21"/>
        </w:rPr>
        <w:t>表</w:t>
      </w:r>
      <w:bookmarkEnd w:id="6"/>
      <w:r>
        <w:rPr>
          <w:rFonts w:ascii="Times New Roman" w:eastAsia="宋体" w:hAnsi="Times New Roman" w:hint="eastAsia"/>
          <w:b w:val="0"/>
          <w:sz w:val="21"/>
        </w:rPr>
        <w:t xml:space="preserve">2  </w:t>
      </w:r>
      <w:r>
        <w:rPr>
          <w:rFonts w:ascii="Times New Roman" w:eastAsia="宋体" w:hAnsi="Times New Roman" w:hint="eastAsia"/>
          <w:b w:val="0"/>
          <w:sz w:val="21"/>
        </w:rPr>
        <w:t>不同终端电阻对通信的影响</w:t>
      </w:r>
    </w:p>
    <w:tbl>
      <w:tblPr>
        <w:tblW w:w="8313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3"/>
        <w:gridCol w:w="1981"/>
        <w:gridCol w:w="2359"/>
      </w:tblGrid>
      <w:tr w:rsidR="00923982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CCCC"/>
            <w:vAlign w:val="center"/>
          </w:tcPr>
          <w:bookmarkEnd w:id="7"/>
          <w:p w:rsidR="00923982" w:rsidRDefault="00E64AD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总线终端电阻介入情况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CCCC"/>
            <w:vAlign w:val="center"/>
          </w:tcPr>
          <w:p w:rsidR="00923982" w:rsidRDefault="00E64AD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总线终端电阻阻值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CCCCC"/>
            <w:vAlign w:val="center"/>
          </w:tcPr>
          <w:p w:rsidR="00923982" w:rsidRDefault="00E64AD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数据丢失率（平均值）</w:t>
            </w:r>
          </w:p>
        </w:tc>
      </w:tr>
      <w:tr w:rsidR="00923982">
        <w:trPr>
          <w:jc w:val="center"/>
        </w:trPr>
        <w:tc>
          <w:tcPr>
            <w:tcW w:w="3973" w:type="dxa"/>
            <w:vAlign w:val="center"/>
          </w:tcPr>
          <w:p w:rsidR="00923982" w:rsidRDefault="00E64AD9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原始状态（</w:t>
            </w:r>
            <w:r>
              <w:rPr>
                <w:rFonts w:cs="宋体" w:hint="eastAsia"/>
                <w:szCs w:val="21"/>
              </w:rPr>
              <w:t>4</w:t>
            </w:r>
            <w:r>
              <w:rPr>
                <w:rFonts w:cs="宋体" w:hint="eastAsia"/>
                <w:szCs w:val="21"/>
              </w:rPr>
              <w:t>个终端电阻）</w:t>
            </w:r>
          </w:p>
        </w:tc>
        <w:tc>
          <w:tcPr>
            <w:tcW w:w="1981" w:type="dxa"/>
            <w:vAlign w:val="center"/>
          </w:tcPr>
          <w:p w:rsidR="00923982" w:rsidRDefault="00E64AD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30</w:t>
            </w:r>
            <w:r>
              <w:rPr>
                <w:rFonts w:cs="宋体" w:hint="eastAsia"/>
                <w:szCs w:val="21"/>
              </w:rPr>
              <w:t>Ω</w:t>
            </w:r>
          </w:p>
        </w:tc>
        <w:tc>
          <w:tcPr>
            <w:tcW w:w="2359" w:type="dxa"/>
            <w:vAlign w:val="center"/>
          </w:tcPr>
          <w:p w:rsidR="00923982" w:rsidRDefault="00E64AD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0.05%</w:t>
            </w:r>
          </w:p>
        </w:tc>
      </w:tr>
      <w:tr w:rsidR="00923982">
        <w:trPr>
          <w:jc w:val="center"/>
        </w:trPr>
        <w:tc>
          <w:tcPr>
            <w:tcW w:w="3973" w:type="dxa"/>
            <w:vAlign w:val="center"/>
          </w:tcPr>
          <w:p w:rsidR="00923982" w:rsidRDefault="00E64AD9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跨上通信插件终端电阻（</w:t>
            </w:r>
            <w:r>
              <w:rPr>
                <w:rFonts w:cs="宋体" w:hint="eastAsia"/>
                <w:szCs w:val="21"/>
              </w:rPr>
              <w:t>6</w:t>
            </w:r>
            <w:r>
              <w:rPr>
                <w:rFonts w:cs="宋体" w:hint="eastAsia"/>
                <w:szCs w:val="21"/>
              </w:rPr>
              <w:t>个终端电阻）</w:t>
            </w:r>
          </w:p>
        </w:tc>
        <w:tc>
          <w:tcPr>
            <w:tcW w:w="1981" w:type="dxa"/>
            <w:vAlign w:val="center"/>
          </w:tcPr>
          <w:p w:rsidR="00923982" w:rsidRDefault="00E64AD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20</w:t>
            </w:r>
            <w:r>
              <w:rPr>
                <w:rFonts w:cs="宋体" w:hint="eastAsia"/>
                <w:szCs w:val="21"/>
              </w:rPr>
              <w:t>Ω</w:t>
            </w:r>
          </w:p>
        </w:tc>
        <w:tc>
          <w:tcPr>
            <w:tcW w:w="2359" w:type="dxa"/>
            <w:vAlign w:val="center"/>
          </w:tcPr>
          <w:p w:rsidR="00923982" w:rsidRDefault="00E64AD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6.5%</w:t>
            </w:r>
          </w:p>
        </w:tc>
      </w:tr>
      <w:tr w:rsidR="00923982">
        <w:trPr>
          <w:jc w:val="center"/>
        </w:trPr>
        <w:tc>
          <w:tcPr>
            <w:tcW w:w="3973" w:type="dxa"/>
            <w:vAlign w:val="center"/>
          </w:tcPr>
          <w:p w:rsidR="00923982" w:rsidRDefault="00E64AD9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去掉一个节点终端电阻（</w:t>
            </w: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个终端电阻）</w:t>
            </w:r>
          </w:p>
        </w:tc>
        <w:tc>
          <w:tcPr>
            <w:tcW w:w="1981" w:type="dxa"/>
            <w:vAlign w:val="center"/>
          </w:tcPr>
          <w:p w:rsidR="00923982" w:rsidRDefault="00E64AD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60</w:t>
            </w:r>
            <w:r>
              <w:rPr>
                <w:rFonts w:cs="宋体" w:hint="eastAsia"/>
                <w:szCs w:val="21"/>
              </w:rPr>
              <w:t>Ω</w:t>
            </w:r>
          </w:p>
        </w:tc>
        <w:tc>
          <w:tcPr>
            <w:tcW w:w="2359" w:type="dxa"/>
            <w:vAlign w:val="center"/>
          </w:tcPr>
          <w:p w:rsidR="00923982" w:rsidRDefault="00E64AD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4%</w:t>
            </w:r>
          </w:p>
        </w:tc>
      </w:tr>
      <w:tr w:rsidR="00923982">
        <w:trPr>
          <w:jc w:val="center"/>
        </w:trPr>
        <w:tc>
          <w:tcPr>
            <w:tcW w:w="3973" w:type="dxa"/>
            <w:vAlign w:val="center"/>
          </w:tcPr>
          <w:p w:rsidR="00923982" w:rsidRDefault="00E64AD9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跨上信息处理插件和通信插件终端电阻（</w:t>
            </w:r>
            <w:r>
              <w:rPr>
                <w:rFonts w:cs="宋体" w:hint="eastAsia"/>
                <w:szCs w:val="21"/>
              </w:rPr>
              <w:t>8</w:t>
            </w:r>
            <w:r>
              <w:rPr>
                <w:rFonts w:cs="宋体" w:hint="eastAsia"/>
                <w:szCs w:val="21"/>
              </w:rPr>
              <w:t>个终端电阻）</w:t>
            </w:r>
          </w:p>
        </w:tc>
        <w:tc>
          <w:tcPr>
            <w:tcW w:w="1981" w:type="dxa"/>
            <w:vAlign w:val="center"/>
          </w:tcPr>
          <w:p w:rsidR="00923982" w:rsidRDefault="00E64AD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14.3</w:t>
            </w:r>
            <w:r>
              <w:rPr>
                <w:rFonts w:cs="宋体" w:hint="eastAsia"/>
                <w:szCs w:val="21"/>
              </w:rPr>
              <w:t>Ω</w:t>
            </w:r>
          </w:p>
        </w:tc>
        <w:tc>
          <w:tcPr>
            <w:tcW w:w="2359" w:type="dxa"/>
            <w:vAlign w:val="center"/>
          </w:tcPr>
          <w:p w:rsidR="00923982" w:rsidRDefault="00E64AD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总线故障</w:t>
            </w:r>
          </w:p>
        </w:tc>
      </w:tr>
    </w:tbl>
    <w:p w:rsidR="00923982" w:rsidRDefault="00E64AD9">
      <w:pPr>
        <w:pStyle w:val="CMMI074"/>
        <w:ind w:firstLine="0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szCs w:val="21"/>
        </w:rPr>
        <w:t xml:space="preserve">    </w:t>
      </w:r>
      <w:r>
        <w:rPr>
          <w:rFonts w:ascii="宋体" w:hAnsi="宋体" w:cs="Times New Roman" w:hint="eastAsia"/>
          <w:szCs w:val="21"/>
        </w:rPr>
        <w:t>发生单机故障的机车，在机车上实测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波形显性位幅值</w:t>
      </w:r>
      <w:r>
        <w:rPr>
          <w:rFonts w:ascii="宋体" w:hAnsi="宋体" w:cs="Times New Roman" w:hint="eastAsia"/>
          <w:szCs w:val="21"/>
        </w:rPr>
        <w:t>VDIFF(D)</w:t>
      </w:r>
      <w:r>
        <w:rPr>
          <w:rFonts w:ascii="宋体" w:hAnsi="宋体" w:cs="Times New Roman" w:hint="eastAsia"/>
          <w:szCs w:val="21"/>
        </w:rPr>
        <w:t>为</w:t>
      </w:r>
      <w:r>
        <w:rPr>
          <w:rFonts w:ascii="宋体" w:hAnsi="宋体" w:cs="Times New Roman" w:hint="eastAsia"/>
          <w:szCs w:val="21"/>
        </w:rPr>
        <w:t>960mV</w:t>
      </w:r>
      <w:r>
        <w:rPr>
          <w:rFonts w:ascii="宋体" w:hAnsi="宋体" w:cs="Times New Roman" w:hint="eastAsia"/>
          <w:szCs w:val="21"/>
        </w:rPr>
        <w:t>，低于</w:t>
      </w:r>
      <w:r>
        <w:rPr>
          <w:rFonts w:ascii="宋体" w:hAnsi="宋体" w:cs="Times New Roman" w:hint="eastAsia"/>
          <w:szCs w:val="21"/>
        </w:rPr>
        <w:t>1V</w:t>
      </w:r>
      <w:r>
        <w:rPr>
          <w:rFonts w:ascii="宋体" w:hAnsi="宋体" w:cs="Times New Roman" w:hint="eastAsia"/>
          <w:szCs w:val="21"/>
        </w:rPr>
        <w:t>的标准，经检查，监控主机地面信息插件终端电阻跨接上了，存在</w:t>
      </w:r>
      <w:r>
        <w:rPr>
          <w:rFonts w:ascii="宋体" w:hAnsi="宋体" w:cs="Times New Roman" w:hint="eastAsia"/>
          <w:szCs w:val="21"/>
        </w:rPr>
        <w:t>6.5%</w:t>
      </w:r>
      <w:r>
        <w:rPr>
          <w:rFonts w:ascii="宋体" w:hAnsi="宋体" w:cs="Times New Roman" w:hint="eastAsia"/>
          <w:szCs w:val="21"/>
        </w:rPr>
        <w:t>的数据丢失率，分析后续几天的运行记录文件，单机运行故障发生频繁，见图</w:t>
      </w:r>
      <w:r>
        <w:rPr>
          <w:rFonts w:ascii="宋体" w:hAnsi="宋体" w:cs="Times New Roman" w:hint="eastAsia"/>
          <w:szCs w:val="21"/>
        </w:rPr>
        <w:t>4</w:t>
      </w:r>
      <w:r>
        <w:rPr>
          <w:rFonts w:ascii="宋体" w:hAnsi="宋体" w:cs="Times New Roman" w:hint="eastAsia"/>
          <w:szCs w:val="21"/>
        </w:rPr>
        <w:t>。</w:t>
      </w:r>
    </w:p>
    <w:p w:rsidR="00923982" w:rsidRDefault="00E64AD9">
      <w:pPr>
        <w:jc w:val="center"/>
        <w:rPr>
          <w:rFonts w:ascii="仿宋_GB2312" w:eastAsia="仿宋_GB2312" w:hAnsi="宋体"/>
          <w:kern w:val="0"/>
        </w:rPr>
      </w:pPr>
      <w:r>
        <w:rPr>
          <w:rFonts w:ascii="仿宋_GB2312" w:eastAsia="仿宋_GB2312" w:hAnsi="宋体" w:hint="eastAsia"/>
          <w:noProof/>
          <w:kern w:val="0"/>
        </w:rPr>
        <w:drawing>
          <wp:inline distT="0" distB="0" distL="0" distR="0">
            <wp:extent cx="3740150" cy="212090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743" cy="212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982" w:rsidRDefault="00E64AD9">
      <w:pPr>
        <w:pStyle w:val="aa"/>
        <w:rPr>
          <w:rFonts w:ascii="Times New Roman" w:eastAsia="宋体" w:hAnsi="Times New Roman"/>
          <w:b w:val="0"/>
          <w:sz w:val="21"/>
        </w:rPr>
      </w:pPr>
      <w:bookmarkStart w:id="8" w:name="_Ref261358035"/>
      <w:r>
        <w:rPr>
          <w:rFonts w:ascii="Times New Roman" w:eastAsia="宋体" w:hAnsi="Times New Roman" w:hint="eastAsia"/>
          <w:b w:val="0"/>
          <w:sz w:val="21"/>
        </w:rPr>
        <w:t>图</w:t>
      </w:r>
      <w:r>
        <w:rPr>
          <w:rFonts w:ascii="Times New Roman" w:eastAsia="宋体" w:hAnsi="Times New Roman" w:hint="eastAsia"/>
          <w:b w:val="0"/>
          <w:sz w:val="21"/>
        </w:rPr>
        <w:t xml:space="preserve"> </w: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begin"/>
      </w:r>
      <w:r>
        <w:rPr>
          <w:rFonts w:ascii="Times New Roman" w:eastAsia="宋体" w:hAnsi="Times New Roman" w:hint="eastAsia"/>
          <w:b w:val="0"/>
          <w:sz w:val="21"/>
        </w:rPr>
        <w:instrText xml:space="preserve"> SEQ </w:instrText>
      </w:r>
      <w:r>
        <w:rPr>
          <w:rFonts w:ascii="Times New Roman" w:eastAsia="宋体" w:hAnsi="Times New Roman" w:hint="eastAsia"/>
          <w:b w:val="0"/>
          <w:sz w:val="21"/>
        </w:rPr>
        <w:instrText>图</w:instrText>
      </w:r>
      <w:r>
        <w:rPr>
          <w:rFonts w:ascii="Times New Roman" w:eastAsia="宋体" w:hAnsi="Times New Roman" w:hint="eastAsia"/>
          <w:b w:val="0"/>
          <w:sz w:val="21"/>
        </w:rPr>
        <w:instrText xml:space="preserve"> \* ARABIC </w:instrTex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separate"/>
      </w:r>
      <w:r>
        <w:rPr>
          <w:rFonts w:ascii="Times New Roman" w:eastAsia="宋体" w:hAnsi="Times New Roman"/>
          <w:b w:val="0"/>
          <w:sz w:val="21"/>
        </w:rPr>
        <w:t>4</w: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end"/>
      </w:r>
      <w:bookmarkEnd w:id="8"/>
      <w:r>
        <w:rPr>
          <w:rFonts w:ascii="Times New Roman" w:eastAsia="宋体" w:hAnsi="Times New Roman" w:hint="eastAsia"/>
          <w:b w:val="0"/>
          <w:sz w:val="21"/>
        </w:rPr>
        <w:t xml:space="preserve">   </w:t>
      </w:r>
      <w:r>
        <w:rPr>
          <w:rFonts w:ascii="Times New Roman" w:eastAsia="宋体" w:hAnsi="Times New Roman" w:hint="eastAsia"/>
          <w:b w:val="0"/>
          <w:sz w:val="21"/>
        </w:rPr>
        <w:t>故障机车实测</w:t>
      </w:r>
      <w:r>
        <w:rPr>
          <w:rFonts w:ascii="Times New Roman" w:eastAsia="宋体" w:hAnsi="Times New Roman" w:hint="eastAsia"/>
          <w:b w:val="0"/>
          <w:sz w:val="21"/>
        </w:rPr>
        <w:t>CAN</w:t>
      </w:r>
      <w:r>
        <w:rPr>
          <w:rFonts w:ascii="Times New Roman" w:eastAsia="宋体" w:hAnsi="Times New Roman" w:hint="eastAsia"/>
          <w:b w:val="0"/>
          <w:sz w:val="21"/>
        </w:rPr>
        <w:t>总线波形</w:t>
      </w:r>
    </w:p>
    <w:p w:rsidR="00923982" w:rsidRDefault="00E64AD9">
      <w:pPr>
        <w:pStyle w:val="CMMI074"/>
        <w:ind w:firstLine="0"/>
      </w:pPr>
      <w:r>
        <w:rPr>
          <w:rFonts w:ascii="宋体" w:hAnsi="宋体" w:cs="Times New Roman"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ascii="宋体" w:hAnsi="宋体" w:cs="Times New Roman" w:hint="eastAsia"/>
          <w:szCs w:val="21"/>
        </w:rPr>
        <w:t>经过对机车设备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总线进行排查，机车上部分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总线终端电阻不匹配是产生设备记录单机运行一个原因，将所有机车的</w:t>
      </w:r>
      <w:r>
        <w:rPr>
          <w:rFonts w:ascii="宋体" w:hAnsi="宋体" w:cs="Times New Roman" w:hint="eastAsia"/>
          <w:szCs w:val="21"/>
        </w:rPr>
        <w:t>CAN</w:t>
      </w:r>
      <w:r>
        <w:rPr>
          <w:rFonts w:ascii="宋体" w:hAnsi="宋体" w:cs="Times New Roman" w:hint="eastAsia"/>
          <w:szCs w:val="21"/>
        </w:rPr>
        <w:t>总线全部配置为</w:t>
      </w:r>
      <w:r>
        <w:rPr>
          <w:rFonts w:ascii="宋体" w:hAnsi="宋体" w:cs="Times New Roman" w:hint="eastAsia"/>
          <w:szCs w:val="21"/>
        </w:rPr>
        <w:t>30</w:t>
      </w:r>
      <w:r>
        <w:rPr>
          <w:rFonts w:ascii="宋体" w:hAnsi="宋体" w:cs="Times New Roman" w:hint="eastAsia"/>
          <w:szCs w:val="21"/>
        </w:rPr>
        <w:t>Ω，然后机车现场运行半个月时间，记录单机运行的机车数量减少为</w:t>
      </w:r>
      <w:r>
        <w:rPr>
          <w:rFonts w:ascii="宋体" w:hAnsi="宋体" w:cs="Times New Roman" w:hint="eastAsia"/>
          <w:szCs w:val="21"/>
        </w:rPr>
        <w:t>3</w:t>
      </w:r>
      <w:r>
        <w:rPr>
          <w:rFonts w:ascii="宋体" w:hAnsi="宋体" w:cs="Times New Roman" w:hint="eastAsia"/>
          <w:szCs w:val="21"/>
        </w:rPr>
        <w:t>台，且未出现机车无故放风状态。</w:t>
      </w:r>
      <w:r>
        <w:rPr>
          <w:rFonts w:ascii="宋体" w:hAnsi="宋体" w:cs="Times New Roman"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</w:p>
    <w:p w:rsidR="00923982" w:rsidRDefault="00E64AD9">
      <w:pPr>
        <w:pStyle w:val="CMMI074"/>
        <w:ind w:firstLine="0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Times New Roman" w:hint="eastAsia"/>
          <w:sz w:val="24"/>
          <w:szCs w:val="24"/>
        </w:rPr>
        <w:t>3.3  CAN</w:t>
      </w:r>
      <w:r>
        <w:rPr>
          <w:rFonts w:ascii="黑体" w:eastAsia="黑体" w:cs="Times New Roman" w:hint="eastAsia"/>
          <w:sz w:val="24"/>
          <w:szCs w:val="24"/>
        </w:rPr>
        <w:t>采样点配置分析</w:t>
      </w:r>
    </w:p>
    <w:p w:rsidR="00923982" w:rsidRDefault="00E64AD9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由于</w:t>
      </w:r>
      <w:r>
        <w:rPr>
          <w:rFonts w:ascii="宋体" w:hAnsi="宋体" w:hint="eastAsia"/>
          <w:szCs w:val="21"/>
        </w:rPr>
        <w:t xml:space="preserve">CAN </w:t>
      </w:r>
      <w:r>
        <w:rPr>
          <w:rFonts w:ascii="宋体" w:hAnsi="宋体" w:hint="eastAsia"/>
          <w:szCs w:val="21"/>
        </w:rPr>
        <w:t>总线终端电阻的分析未能完全解决单机运行的故障，继续对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采样点配置进行分析，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采样点配置关系见图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所示。</w:t>
      </w:r>
    </w:p>
    <w:p w:rsidR="00923982" w:rsidRDefault="00E64AD9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191000" cy="1636395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63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982" w:rsidRDefault="00E64AD9">
      <w:pPr>
        <w:pStyle w:val="aa"/>
        <w:rPr>
          <w:rFonts w:ascii="Times New Roman" w:eastAsia="宋体" w:hAnsi="Times New Roman"/>
          <w:b w:val="0"/>
          <w:sz w:val="21"/>
        </w:rPr>
      </w:pPr>
      <w:r>
        <w:rPr>
          <w:rFonts w:ascii="Times New Roman" w:eastAsia="宋体" w:hAnsi="Times New Roman" w:hint="eastAsia"/>
          <w:b w:val="0"/>
          <w:sz w:val="21"/>
        </w:rPr>
        <w:t>图</w:t>
      </w:r>
      <w:r>
        <w:rPr>
          <w:rFonts w:ascii="Times New Roman" w:eastAsia="宋体" w:hAnsi="Times New Roman" w:hint="eastAsia"/>
          <w:b w:val="0"/>
          <w:sz w:val="21"/>
        </w:rPr>
        <w:t xml:space="preserve"> </w: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begin"/>
      </w:r>
      <w:r>
        <w:rPr>
          <w:rFonts w:ascii="Times New Roman" w:eastAsia="宋体" w:hAnsi="Times New Roman" w:hint="eastAsia"/>
          <w:b w:val="0"/>
          <w:sz w:val="21"/>
        </w:rPr>
        <w:instrText xml:space="preserve"> SEQ </w:instrText>
      </w:r>
      <w:r>
        <w:rPr>
          <w:rFonts w:ascii="Times New Roman" w:eastAsia="宋体" w:hAnsi="Times New Roman" w:hint="eastAsia"/>
          <w:b w:val="0"/>
          <w:sz w:val="21"/>
        </w:rPr>
        <w:instrText>图</w:instrText>
      </w:r>
      <w:r>
        <w:rPr>
          <w:rFonts w:ascii="Times New Roman" w:eastAsia="宋体" w:hAnsi="Times New Roman" w:hint="eastAsia"/>
          <w:b w:val="0"/>
          <w:sz w:val="21"/>
        </w:rPr>
        <w:instrText xml:space="preserve"> \* ARABIC </w:instrTex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separate"/>
      </w:r>
      <w:r>
        <w:rPr>
          <w:rFonts w:ascii="Times New Roman" w:eastAsia="宋体" w:hAnsi="Times New Roman"/>
          <w:b w:val="0"/>
          <w:sz w:val="21"/>
        </w:rPr>
        <w:t>5</w:t>
      </w:r>
      <w:r w:rsidR="00923982">
        <w:rPr>
          <w:rFonts w:ascii="Times New Roman" w:eastAsia="宋体" w:hAnsi="Times New Roman" w:hint="eastAsia"/>
          <w:b w:val="0"/>
          <w:sz w:val="21"/>
        </w:rPr>
        <w:fldChar w:fldCharType="end"/>
      </w:r>
      <w:r>
        <w:rPr>
          <w:rFonts w:ascii="Times New Roman" w:eastAsia="宋体" w:hAnsi="Times New Roman" w:hint="eastAsia"/>
          <w:b w:val="0"/>
          <w:sz w:val="21"/>
        </w:rPr>
        <w:t xml:space="preserve">   </w:t>
      </w:r>
      <w:r>
        <w:rPr>
          <w:rFonts w:ascii="Times New Roman" w:eastAsia="宋体" w:hAnsi="Times New Roman" w:hint="eastAsia"/>
          <w:b w:val="0"/>
          <w:sz w:val="21"/>
        </w:rPr>
        <w:t>在</w:t>
      </w:r>
      <w:r>
        <w:rPr>
          <w:rFonts w:ascii="Times New Roman" w:eastAsia="宋体" w:hAnsi="Times New Roman" w:hint="eastAsia"/>
          <w:b w:val="0"/>
          <w:sz w:val="21"/>
        </w:rPr>
        <w:t>TSEG1</w:t>
      </w:r>
      <w:r>
        <w:rPr>
          <w:rFonts w:ascii="Times New Roman" w:eastAsia="宋体" w:hAnsi="Times New Roman" w:hint="eastAsia"/>
          <w:b w:val="0"/>
          <w:sz w:val="21"/>
        </w:rPr>
        <w:t>结束位置进行采样</w:t>
      </w:r>
    </w:p>
    <w:p w:rsidR="00923982" w:rsidRDefault="00E64AD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修改插件软件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通信采样点初始化配置如表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所示：</w:t>
      </w:r>
    </w:p>
    <w:p w:rsidR="00923982" w:rsidRDefault="00E64AD9">
      <w:pPr>
        <w:pStyle w:val="a3"/>
        <w:jc w:val="center"/>
        <w:rPr>
          <w:rFonts w:ascii="Times New Roman" w:eastAsia="宋体" w:hAnsi="Times New Roman" w:cs="宋体"/>
          <w:sz w:val="21"/>
        </w:rPr>
      </w:pPr>
      <w:r>
        <w:rPr>
          <w:rFonts w:ascii="Times New Roman" w:eastAsia="宋体" w:hAnsi="Times New Roman" w:cs="宋体" w:hint="eastAsia"/>
          <w:sz w:val="21"/>
        </w:rPr>
        <w:t>表</w:t>
      </w:r>
      <w:r>
        <w:rPr>
          <w:rFonts w:ascii="Times New Roman" w:eastAsia="宋体" w:hAnsi="Times New Roman" w:cs="宋体" w:hint="eastAsia"/>
          <w:sz w:val="21"/>
        </w:rPr>
        <w:t xml:space="preserve"> 3</w:t>
      </w:r>
    </w:p>
    <w:tbl>
      <w:tblPr>
        <w:tblStyle w:val="a9"/>
        <w:tblW w:w="6877" w:type="dxa"/>
        <w:jc w:val="center"/>
        <w:tblInd w:w="900" w:type="dxa"/>
        <w:tblLayout w:type="fixed"/>
        <w:tblLook w:val="04A0"/>
      </w:tblPr>
      <w:tblGrid>
        <w:gridCol w:w="640"/>
        <w:gridCol w:w="1023"/>
        <w:gridCol w:w="1281"/>
        <w:gridCol w:w="1308"/>
        <w:gridCol w:w="1057"/>
        <w:gridCol w:w="1568"/>
      </w:tblGrid>
      <w:tr w:rsidR="00923982">
        <w:trPr>
          <w:jc w:val="center"/>
        </w:trPr>
        <w:tc>
          <w:tcPr>
            <w:tcW w:w="640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023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分频比（</w:t>
            </w:r>
            <w:r>
              <w:rPr>
                <w:rFonts w:cs="宋体" w:hint="eastAsia"/>
                <w:kern w:val="0"/>
                <w:sz w:val="20"/>
                <w:szCs w:val="21"/>
              </w:rPr>
              <w:t>BRP</w:t>
            </w:r>
            <w:r>
              <w:rPr>
                <w:rFonts w:cs="宋体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281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时段１（</w:t>
            </w:r>
            <w:r>
              <w:rPr>
                <w:rFonts w:cs="宋体" w:hint="eastAsia"/>
                <w:kern w:val="0"/>
                <w:sz w:val="20"/>
                <w:szCs w:val="21"/>
              </w:rPr>
              <w:t>TSEG1</w:t>
            </w:r>
            <w:r>
              <w:rPr>
                <w:rFonts w:cs="宋体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308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时段</w:t>
            </w:r>
            <w:r>
              <w:rPr>
                <w:rFonts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cs="宋体" w:hint="eastAsia"/>
                <w:kern w:val="0"/>
                <w:sz w:val="20"/>
                <w:szCs w:val="21"/>
              </w:rPr>
              <w:t>（</w:t>
            </w:r>
            <w:r>
              <w:rPr>
                <w:rFonts w:cs="宋体" w:hint="eastAsia"/>
                <w:kern w:val="0"/>
                <w:sz w:val="20"/>
                <w:szCs w:val="21"/>
              </w:rPr>
              <w:t>TSEG2</w:t>
            </w:r>
            <w:r>
              <w:rPr>
                <w:rFonts w:cs="宋体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057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CAN</w:t>
            </w:r>
            <w:r>
              <w:rPr>
                <w:rFonts w:cs="宋体" w:hint="eastAsia"/>
                <w:kern w:val="0"/>
                <w:sz w:val="20"/>
                <w:szCs w:val="21"/>
              </w:rPr>
              <w:t>通信状况</w:t>
            </w:r>
          </w:p>
        </w:tc>
        <w:tc>
          <w:tcPr>
            <w:tcW w:w="1568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备注</w:t>
            </w:r>
          </w:p>
        </w:tc>
      </w:tr>
      <w:tr w:rsidR="00923982">
        <w:trPr>
          <w:jc w:val="center"/>
        </w:trPr>
        <w:tc>
          <w:tcPr>
            <w:tcW w:w="640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023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308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057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异常</w:t>
            </w:r>
          </w:p>
        </w:tc>
        <w:tc>
          <w:tcPr>
            <w:tcW w:w="1568" w:type="dxa"/>
            <w:vAlign w:val="center"/>
          </w:tcPr>
          <w:p w:rsidR="00923982" w:rsidRDefault="00E64AD9"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目前软件配置</w:t>
            </w:r>
          </w:p>
        </w:tc>
      </w:tr>
      <w:tr w:rsidR="00923982">
        <w:trPr>
          <w:jc w:val="center"/>
        </w:trPr>
        <w:tc>
          <w:tcPr>
            <w:tcW w:w="640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023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308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057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正常</w:t>
            </w:r>
          </w:p>
        </w:tc>
        <w:tc>
          <w:tcPr>
            <w:tcW w:w="1568" w:type="dxa"/>
            <w:vAlign w:val="center"/>
          </w:tcPr>
          <w:p w:rsidR="00923982" w:rsidRDefault="00923982">
            <w:pPr>
              <w:rPr>
                <w:rFonts w:cs="宋体"/>
                <w:kern w:val="0"/>
                <w:sz w:val="20"/>
                <w:szCs w:val="21"/>
              </w:rPr>
            </w:pPr>
          </w:p>
        </w:tc>
      </w:tr>
      <w:tr w:rsidR="00923982">
        <w:trPr>
          <w:jc w:val="center"/>
        </w:trPr>
        <w:tc>
          <w:tcPr>
            <w:tcW w:w="640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023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1308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057" w:type="dxa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正常</w:t>
            </w:r>
          </w:p>
        </w:tc>
        <w:tc>
          <w:tcPr>
            <w:tcW w:w="1568" w:type="dxa"/>
            <w:vAlign w:val="center"/>
          </w:tcPr>
          <w:p w:rsidR="00923982" w:rsidRDefault="00923982">
            <w:pPr>
              <w:rPr>
                <w:rFonts w:cs="宋体"/>
                <w:kern w:val="0"/>
                <w:sz w:val="20"/>
                <w:szCs w:val="21"/>
              </w:rPr>
            </w:pPr>
          </w:p>
        </w:tc>
      </w:tr>
      <w:tr w:rsidR="00923982">
        <w:trPr>
          <w:jc w:val="center"/>
        </w:trPr>
        <w:tc>
          <w:tcPr>
            <w:tcW w:w="640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023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81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308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057" w:type="dxa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正常</w:t>
            </w:r>
          </w:p>
        </w:tc>
        <w:tc>
          <w:tcPr>
            <w:tcW w:w="1568" w:type="dxa"/>
            <w:vAlign w:val="center"/>
          </w:tcPr>
          <w:p w:rsidR="00923982" w:rsidRDefault="00923982">
            <w:pPr>
              <w:rPr>
                <w:rFonts w:cs="宋体"/>
                <w:kern w:val="0"/>
                <w:sz w:val="20"/>
                <w:szCs w:val="21"/>
              </w:rPr>
            </w:pPr>
          </w:p>
        </w:tc>
      </w:tr>
      <w:tr w:rsidR="00923982">
        <w:trPr>
          <w:jc w:val="center"/>
        </w:trPr>
        <w:tc>
          <w:tcPr>
            <w:tcW w:w="640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023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1281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308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057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正常</w:t>
            </w:r>
          </w:p>
        </w:tc>
        <w:tc>
          <w:tcPr>
            <w:tcW w:w="1568" w:type="dxa"/>
            <w:vAlign w:val="center"/>
          </w:tcPr>
          <w:p w:rsidR="00923982" w:rsidRDefault="00923982">
            <w:pPr>
              <w:rPr>
                <w:rFonts w:cs="宋体"/>
                <w:kern w:val="0"/>
                <w:sz w:val="20"/>
                <w:szCs w:val="21"/>
              </w:rPr>
            </w:pPr>
          </w:p>
        </w:tc>
      </w:tr>
      <w:tr w:rsidR="00923982">
        <w:trPr>
          <w:jc w:val="center"/>
        </w:trPr>
        <w:tc>
          <w:tcPr>
            <w:tcW w:w="640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023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1281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308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057" w:type="dxa"/>
            <w:vAlign w:val="center"/>
          </w:tcPr>
          <w:p w:rsidR="00923982" w:rsidRDefault="00E64AD9">
            <w:pPr>
              <w:jc w:val="center"/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异常</w:t>
            </w:r>
          </w:p>
        </w:tc>
        <w:tc>
          <w:tcPr>
            <w:tcW w:w="1568" w:type="dxa"/>
            <w:vAlign w:val="center"/>
          </w:tcPr>
          <w:p w:rsidR="00923982" w:rsidRDefault="00E64AD9"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 w:hint="eastAsia"/>
                <w:kern w:val="0"/>
                <w:sz w:val="20"/>
                <w:szCs w:val="21"/>
              </w:rPr>
              <w:t>复位频率较高</w:t>
            </w:r>
          </w:p>
        </w:tc>
      </w:tr>
    </w:tbl>
    <w:p w:rsidR="00923982" w:rsidRDefault="00E64AD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通过改变信息处理插件软件的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采样时机，当采样时机调整到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位宽靠后位置时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通信正常；当采样时机调整到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位宽居中位置时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通信故障率较高。</w:t>
      </w:r>
    </w:p>
    <w:p w:rsidR="00923982" w:rsidRDefault="00E64AD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这是由于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通信发送异常时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控制芯片</w:t>
      </w:r>
      <w:r>
        <w:rPr>
          <w:rFonts w:ascii="宋体" w:hAnsi="宋体" w:hint="eastAsia"/>
          <w:szCs w:val="21"/>
        </w:rPr>
        <w:t>CC770</w:t>
      </w:r>
      <w:r>
        <w:rPr>
          <w:rFonts w:ascii="宋体" w:hAnsi="宋体" w:hint="eastAsia"/>
          <w:szCs w:val="21"/>
        </w:rPr>
        <w:t>的状态寄存器</w:t>
      </w:r>
      <w:r>
        <w:rPr>
          <w:rFonts w:ascii="宋体" w:hAnsi="宋体" w:hint="eastAsia"/>
          <w:szCs w:val="21"/>
        </w:rPr>
        <w:t>LEC</w:t>
      </w:r>
      <w:r>
        <w:rPr>
          <w:rFonts w:ascii="宋体" w:hAnsi="宋体" w:hint="eastAsia"/>
          <w:szCs w:val="21"/>
        </w:rPr>
        <w:t>位显示“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”，即把隐性位（低电平，表示“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”）错判为显性位（高电平，表示“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”），导致信息处理插件重复发送自检信息，影响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总线正常运行。</w:t>
      </w:r>
    </w:p>
    <w:p w:rsidR="00923982" w:rsidRDefault="00E64AD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因此，当软件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采样点取到位宽靠后时可避免采样到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通信的下降沿，从而避免了误判正常发送为发送错误、重复发送多次导致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总线异常的问题。</w:t>
      </w:r>
    </w:p>
    <w:p w:rsidR="00923982" w:rsidRDefault="00E64AD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通过分析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通信波形显示：在显示器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通信线悬空时，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差分信号上升沿、下降沿较缓，差分信号的逻辑低电平小于</w:t>
      </w:r>
      <w:r>
        <w:rPr>
          <w:rFonts w:ascii="宋体" w:hAnsi="宋体" w:hint="eastAsia"/>
          <w:szCs w:val="21"/>
        </w:rPr>
        <w:t>0.5V</w:t>
      </w:r>
      <w:r>
        <w:rPr>
          <w:rFonts w:ascii="宋体" w:hAnsi="宋体" w:hint="eastAsia"/>
          <w:szCs w:val="21"/>
        </w:rPr>
        <w:t>的区域约占总时间的</w:t>
      </w:r>
      <w:r>
        <w:rPr>
          <w:rFonts w:ascii="宋体" w:hAnsi="宋体" w:hint="eastAsia"/>
          <w:szCs w:val="21"/>
        </w:rPr>
        <w:t>60</w:t>
      </w:r>
      <w:r>
        <w:rPr>
          <w:rFonts w:ascii="宋体" w:hAnsi="宋体" w:hint="eastAsia"/>
          <w:szCs w:val="21"/>
        </w:rPr>
        <w:t>％；接上显示</w:t>
      </w:r>
      <w:r>
        <w:rPr>
          <w:rFonts w:ascii="宋体" w:hAnsi="宋体" w:hint="eastAsia"/>
          <w:szCs w:val="21"/>
        </w:rPr>
        <w:t>器终端电阻后充、放电时间缩短，差分电压上升沿、下降沿变陡，差分信号的逻辑低电平小于</w:t>
      </w:r>
      <w:r>
        <w:rPr>
          <w:rFonts w:ascii="宋体" w:hAnsi="宋体" w:hint="eastAsia"/>
          <w:szCs w:val="21"/>
        </w:rPr>
        <w:t>0.5V</w:t>
      </w:r>
      <w:r>
        <w:rPr>
          <w:rFonts w:ascii="宋体" w:hAnsi="宋体" w:hint="eastAsia"/>
          <w:szCs w:val="21"/>
        </w:rPr>
        <w:t>的区域约占总时间的</w:t>
      </w:r>
      <w:r>
        <w:rPr>
          <w:rFonts w:ascii="宋体" w:hAnsi="宋体" w:hint="eastAsia"/>
          <w:szCs w:val="21"/>
        </w:rPr>
        <w:t>80</w:t>
      </w:r>
      <w:r>
        <w:rPr>
          <w:rFonts w:ascii="宋体" w:hAnsi="宋体" w:hint="eastAsia"/>
          <w:szCs w:val="21"/>
        </w:rPr>
        <w:t>％。</w:t>
      </w:r>
    </w:p>
    <w:p w:rsidR="00923982" w:rsidRDefault="00E64AD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根据分析结果将系统的所有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节点的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采样点固定在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位宽最后的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％～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％之间。然后所有更改配置的机车现场运行，现场运行三个月，记录单机运行的机车数量为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，单机故障现象消失。</w:t>
      </w:r>
    </w:p>
    <w:p w:rsidR="00923982" w:rsidRDefault="00923982">
      <w:pPr>
        <w:spacing w:line="360" w:lineRule="auto"/>
        <w:ind w:firstLine="420"/>
        <w:rPr>
          <w:szCs w:val="21"/>
        </w:rPr>
      </w:pPr>
    </w:p>
    <w:p w:rsidR="00923982" w:rsidRDefault="00E64AD9">
      <w:pPr>
        <w:pStyle w:val="CMMI074"/>
        <w:ind w:firstLine="0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Times New Roman" w:hint="eastAsia"/>
          <w:sz w:val="24"/>
          <w:szCs w:val="24"/>
        </w:rPr>
        <w:lastRenderedPageBreak/>
        <w:t xml:space="preserve">4  </w:t>
      </w:r>
      <w:r>
        <w:rPr>
          <w:rFonts w:ascii="黑体" w:eastAsia="黑体" w:cs="Times New Roman" w:hint="eastAsia"/>
          <w:sz w:val="24"/>
          <w:szCs w:val="24"/>
        </w:rPr>
        <w:t>分析结论</w:t>
      </w:r>
    </w:p>
    <w:p w:rsidR="00923982" w:rsidRDefault="00E64AD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LKJ</w:t>
      </w:r>
      <w:r>
        <w:rPr>
          <w:rFonts w:ascii="宋体" w:hAnsi="宋体" w:hint="eastAsia"/>
          <w:szCs w:val="21"/>
        </w:rPr>
        <w:t>监控装置系统电源和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总线电源符合产品和芯片数据手册要求，不存在问题，问题的来源应该为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终端电阻配置错误和或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采样点配置错误。</w:t>
      </w:r>
    </w:p>
    <w:p w:rsidR="00923982" w:rsidRDefault="00E64AD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终端电阻原因，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终端电阻配置正确时，总线信号显性位时，波形显性位幅值</w:t>
      </w:r>
      <w:r>
        <w:rPr>
          <w:rFonts w:ascii="宋体" w:hAnsi="宋体" w:hint="eastAsia"/>
          <w:szCs w:val="21"/>
        </w:rPr>
        <w:t>VDIFF(D)</w:t>
      </w:r>
      <w:r>
        <w:rPr>
          <w:rFonts w:ascii="宋体" w:hAnsi="宋体" w:hint="eastAsia"/>
          <w:szCs w:val="21"/>
        </w:rPr>
        <w:t>应当大于</w:t>
      </w:r>
      <w:r>
        <w:rPr>
          <w:rFonts w:ascii="宋体" w:hAnsi="宋体" w:hint="eastAsia"/>
          <w:szCs w:val="21"/>
        </w:rPr>
        <w:t>1.0V</w:t>
      </w:r>
      <w:r>
        <w:rPr>
          <w:rFonts w:ascii="宋体" w:hAnsi="宋体" w:hint="eastAsia"/>
          <w:szCs w:val="21"/>
        </w:rPr>
        <w:t>。当终端电阻增大时，信号幅值提高，当终端电阻减小时，信号幅值降低，机车上部分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总线终端电阻不匹配是产生设备记录单机运行一个原因。</w:t>
      </w:r>
    </w:p>
    <w:p w:rsidR="00923982" w:rsidRDefault="00E64AD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通过改变信息处理插件软件的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采样时机，当采样时机调整到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位宽靠后位置时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通信正常；当采样时机调整到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位宽居中位置时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通信故障率较高。当软件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采样点取到位宽靠后时可避免采样到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通信的下降沿，从而避免了误判正常发送为发送错误、重复发送多次导致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AN</w:t>
      </w:r>
      <w:r>
        <w:rPr>
          <w:rFonts w:ascii="宋体" w:hAnsi="宋体" w:hint="eastAsia"/>
          <w:szCs w:val="21"/>
        </w:rPr>
        <w:t>总线异常的问题。</w:t>
      </w:r>
    </w:p>
    <w:p w:rsidR="00923982" w:rsidRDefault="00E64AD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通过修改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终端电阻配置和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采样点初始化配置可以完全的解决</w:t>
      </w:r>
      <w:r>
        <w:rPr>
          <w:rFonts w:ascii="宋体" w:hAnsi="宋体" w:hint="eastAsia"/>
          <w:szCs w:val="21"/>
        </w:rPr>
        <w:t>LKJ</w:t>
      </w:r>
      <w:r>
        <w:rPr>
          <w:rFonts w:ascii="宋体" w:hAnsi="宋体" w:hint="eastAsia"/>
          <w:szCs w:val="21"/>
        </w:rPr>
        <w:t>监控装置</w:t>
      </w:r>
      <w:r>
        <w:rPr>
          <w:rFonts w:ascii="宋体" w:hAnsi="宋体"/>
          <w:szCs w:val="21"/>
        </w:rPr>
        <w:t>单机运行</w:t>
      </w:r>
      <w:r>
        <w:rPr>
          <w:rFonts w:ascii="宋体" w:hAnsi="宋体" w:hint="eastAsia"/>
          <w:szCs w:val="21"/>
        </w:rPr>
        <w:t>通信故障的现象。通过对</w:t>
      </w:r>
      <w:r>
        <w:rPr>
          <w:rFonts w:ascii="宋体" w:hAnsi="宋体" w:hint="eastAsia"/>
          <w:szCs w:val="21"/>
        </w:rPr>
        <w:t>CAN</w:t>
      </w:r>
      <w:r>
        <w:rPr>
          <w:rFonts w:ascii="宋体" w:hAnsi="宋体" w:hint="eastAsia"/>
          <w:szCs w:val="21"/>
        </w:rPr>
        <w:t>总线的失效分析，提高了系统的可靠性和安全性。</w:t>
      </w:r>
    </w:p>
    <w:p w:rsidR="00923982" w:rsidRDefault="00923982">
      <w:pPr>
        <w:pStyle w:val="4CMMI40505"/>
        <w:numPr>
          <w:ilvl w:val="0"/>
          <w:numId w:val="0"/>
        </w:numPr>
        <w:rPr>
          <w:rFonts w:ascii="黑体" w:hAnsi="黑体"/>
          <w:b/>
          <w:kern w:val="2"/>
          <w:szCs w:val="21"/>
        </w:rPr>
      </w:pPr>
    </w:p>
    <w:p w:rsidR="00923982" w:rsidRDefault="00E64AD9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参考文献：</w:t>
      </w:r>
    </w:p>
    <w:p w:rsidR="00923982" w:rsidRDefault="00E64AD9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]</w:t>
      </w:r>
      <w:r>
        <w:rPr>
          <w:rFonts w:ascii="宋体" w:hAnsi="宋体" w:hint="eastAsia"/>
          <w:sz w:val="18"/>
          <w:szCs w:val="18"/>
        </w:rPr>
        <w:t xml:space="preserve">   </w:t>
      </w:r>
      <w:r>
        <w:rPr>
          <w:rFonts w:ascii="宋体" w:hAnsi="宋体"/>
          <w:sz w:val="18"/>
          <w:szCs w:val="18"/>
        </w:rPr>
        <w:t>CC770 (Stand Alone CAN Controller)  Data Sheet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200</w:t>
      </w:r>
      <w:r>
        <w:rPr>
          <w:rFonts w:ascii="宋体" w:hAnsi="宋体" w:hint="eastAsia"/>
          <w:sz w:val="18"/>
          <w:szCs w:val="18"/>
        </w:rPr>
        <w:t>9</w:t>
      </w:r>
      <w:r>
        <w:rPr>
          <w:rFonts w:ascii="宋体" w:hAnsi="宋体" w:hint="eastAsia"/>
          <w:sz w:val="18"/>
          <w:szCs w:val="18"/>
        </w:rPr>
        <w:t>年</w:t>
      </w:r>
    </w:p>
    <w:p w:rsidR="00923982" w:rsidRDefault="00E64AD9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</w:t>
      </w:r>
      <w:r>
        <w:rPr>
          <w:rFonts w:ascii="宋体" w:hAnsi="宋体" w:hint="eastAsia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]</w:t>
      </w:r>
      <w:r>
        <w:rPr>
          <w:rFonts w:ascii="宋体" w:hAnsi="宋体" w:hint="eastAsia"/>
          <w:sz w:val="18"/>
          <w:szCs w:val="18"/>
        </w:rPr>
        <w:t xml:space="preserve">   </w:t>
      </w:r>
      <w:r>
        <w:rPr>
          <w:rFonts w:ascii="宋体" w:hAnsi="宋体"/>
          <w:sz w:val="18"/>
          <w:szCs w:val="18"/>
        </w:rPr>
        <w:t>胥清华</w:t>
      </w:r>
      <w:r>
        <w:rPr>
          <w:rFonts w:ascii="宋体" w:hAnsi="宋体"/>
          <w:sz w:val="18"/>
          <w:szCs w:val="18"/>
        </w:rPr>
        <w:t>,</w:t>
      </w:r>
      <w:r>
        <w:rPr>
          <w:rFonts w:ascii="宋体" w:hAnsi="宋体"/>
          <w:sz w:val="18"/>
          <w:szCs w:val="18"/>
        </w:rPr>
        <w:t>李强；</w:t>
      </w:r>
      <w:r>
        <w:rPr>
          <w:rFonts w:ascii="宋体" w:hAnsi="宋体"/>
          <w:sz w:val="18"/>
          <w:szCs w:val="18"/>
        </w:rPr>
        <w:t> </w:t>
      </w:r>
      <w:hyperlink r:id="rId13" w:tgtFrame="_blank" w:history="1">
        <w:r>
          <w:rPr>
            <w:rFonts w:ascii="宋体" w:hAnsi="宋体"/>
            <w:sz w:val="18"/>
            <w:szCs w:val="18"/>
          </w:rPr>
          <w:t>CAN</w:t>
        </w:r>
        <w:r>
          <w:rPr>
            <w:rFonts w:ascii="宋体" w:hAnsi="宋体"/>
            <w:sz w:val="18"/>
            <w:szCs w:val="18"/>
          </w:rPr>
          <w:t>总线发展与其他总线的比较</w:t>
        </w:r>
      </w:hyperlink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 xml:space="preserve"> 2011 </w:t>
      </w:r>
      <w:r>
        <w:rPr>
          <w:rFonts w:ascii="宋体" w:hAnsi="宋体"/>
          <w:sz w:val="18"/>
          <w:szCs w:val="18"/>
        </w:rPr>
        <w:t>年</w:t>
      </w:r>
    </w:p>
    <w:p w:rsidR="00923982" w:rsidRDefault="00E64AD9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[3]   </w:t>
      </w:r>
      <w:hyperlink r:id="rId14" w:tgtFrame="_blank" w:history="1">
        <w:r>
          <w:rPr>
            <w:rFonts w:ascii="宋体" w:hAnsi="宋体"/>
            <w:sz w:val="18"/>
            <w:szCs w:val="18"/>
          </w:rPr>
          <w:t>杨福宇</w:t>
        </w:r>
      </w:hyperlink>
      <w:r>
        <w:rPr>
          <w:rFonts w:ascii="宋体" w:hAnsi="宋体"/>
          <w:sz w:val="18"/>
          <w:szCs w:val="18"/>
        </w:rPr>
        <w:t>；</w:t>
      </w:r>
      <w:r>
        <w:rPr>
          <w:rFonts w:ascii="宋体" w:hAnsi="宋体"/>
          <w:sz w:val="18"/>
          <w:szCs w:val="18"/>
        </w:rPr>
        <w:t xml:space="preserve"> CAN</w:t>
      </w:r>
      <w:r>
        <w:rPr>
          <w:rFonts w:ascii="宋体" w:hAnsi="宋体"/>
          <w:sz w:val="18"/>
          <w:szCs w:val="18"/>
        </w:rPr>
        <w:t>优先级倒置原因与对策</w:t>
      </w:r>
      <w:r>
        <w:rPr>
          <w:rFonts w:ascii="宋体" w:hAnsi="宋体" w:hint="eastAsia"/>
          <w:sz w:val="18"/>
          <w:szCs w:val="18"/>
        </w:rPr>
        <w:t xml:space="preserve">. </w:t>
      </w:r>
      <w:hyperlink r:id="rId15" w:tgtFrame="_blank" w:history="1">
        <w:r>
          <w:rPr>
            <w:rFonts w:ascii="宋体" w:hAnsi="宋体"/>
            <w:sz w:val="18"/>
            <w:szCs w:val="18"/>
          </w:rPr>
          <w:t>单片机与嵌入式系统应用</w:t>
        </w:r>
      </w:hyperlink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2012</w:t>
      </w:r>
      <w:r>
        <w:rPr>
          <w:rFonts w:ascii="宋体" w:hAnsi="宋体" w:hint="eastAsia"/>
          <w:sz w:val="18"/>
          <w:szCs w:val="18"/>
        </w:rPr>
        <w:t>年</w:t>
      </w:r>
    </w:p>
    <w:p w:rsidR="00923982" w:rsidRDefault="00E64AD9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[</w:t>
      </w:r>
      <w:r>
        <w:rPr>
          <w:rFonts w:ascii="宋体" w:hAnsi="宋体" w:hint="eastAsia"/>
          <w:sz w:val="18"/>
          <w:szCs w:val="18"/>
        </w:rPr>
        <w:t>4</w:t>
      </w:r>
      <w:r>
        <w:rPr>
          <w:rFonts w:ascii="宋体" w:hAnsi="宋体"/>
          <w:sz w:val="18"/>
          <w:szCs w:val="18"/>
        </w:rPr>
        <w:t>]</w:t>
      </w:r>
      <w:r>
        <w:rPr>
          <w:rFonts w:ascii="宋体" w:hAnsi="宋体" w:hint="eastAsia"/>
          <w:sz w:val="18"/>
          <w:szCs w:val="18"/>
        </w:rPr>
        <w:t xml:space="preserve">   </w:t>
      </w:r>
      <w:r>
        <w:rPr>
          <w:rFonts w:ascii="宋体" w:hAnsi="宋体" w:hint="eastAsia"/>
          <w:sz w:val="18"/>
          <w:szCs w:val="18"/>
        </w:rPr>
        <w:t>杨志刚</w:t>
      </w:r>
      <w:r>
        <w:rPr>
          <w:rFonts w:ascii="宋体" w:hAnsi="宋体"/>
          <w:sz w:val="18"/>
          <w:szCs w:val="18"/>
        </w:rPr>
        <w:t>；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 xml:space="preserve"> LKJ</w:t>
      </w:r>
      <w:r>
        <w:rPr>
          <w:rFonts w:ascii="宋体" w:hAnsi="宋体" w:hint="eastAsia"/>
          <w:sz w:val="18"/>
          <w:szCs w:val="18"/>
        </w:rPr>
        <w:t>列控技术及应用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中国铁道出版</w:t>
      </w:r>
      <w:r>
        <w:rPr>
          <w:rFonts w:ascii="宋体" w:hAnsi="宋体" w:hint="eastAsia"/>
          <w:sz w:val="18"/>
          <w:szCs w:val="18"/>
        </w:rPr>
        <w:t>社，</w:t>
      </w:r>
      <w:r>
        <w:rPr>
          <w:rFonts w:ascii="宋体" w:hAnsi="宋体" w:hint="eastAsia"/>
          <w:sz w:val="18"/>
          <w:szCs w:val="18"/>
        </w:rPr>
        <w:t>2012</w:t>
      </w:r>
      <w:r>
        <w:rPr>
          <w:rFonts w:ascii="宋体" w:hAnsi="宋体" w:hint="eastAsia"/>
          <w:sz w:val="18"/>
          <w:szCs w:val="18"/>
        </w:rPr>
        <w:t>年</w:t>
      </w:r>
    </w:p>
    <w:sectPr w:rsidR="00923982" w:rsidSect="0092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decimal"/>
      <w:pStyle w:val="1"/>
      <w:lvlText w:val="%1"/>
      <w:lvlJc w:val="left"/>
      <w:pPr>
        <w:tabs>
          <w:tab w:val="left" w:pos="680"/>
        </w:tabs>
        <w:ind w:left="0" w:firstLine="0"/>
      </w:pPr>
      <w:rPr>
        <w:rFonts w:hint="eastAsia"/>
      </w:rPr>
    </w:lvl>
    <w:lvl w:ilvl="1">
      <w:start w:val="1"/>
      <w:numFmt w:val="decimal"/>
      <w:pStyle w:val="2CMMI20505"/>
      <w:lvlText w:val="%1.%2"/>
      <w:lvlJc w:val="left"/>
      <w:pPr>
        <w:tabs>
          <w:tab w:val="left" w:pos="680"/>
        </w:tabs>
        <w:ind w:left="0" w:firstLine="0"/>
      </w:pPr>
      <w:rPr>
        <w:rFonts w:hint="eastAsia"/>
      </w:rPr>
    </w:lvl>
    <w:lvl w:ilvl="2">
      <w:start w:val="1"/>
      <w:numFmt w:val="decimal"/>
      <w:pStyle w:val="3CMMI3SS-1110505"/>
      <w:lvlText w:val="%1.%2.%3"/>
      <w:lvlJc w:val="left"/>
      <w:pPr>
        <w:tabs>
          <w:tab w:val="left" w:pos="68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8112E"/>
    <w:rsid w:val="00084A1F"/>
    <w:rsid w:val="000B6272"/>
    <w:rsid w:val="000B6D2D"/>
    <w:rsid w:val="0013660D"/>
    <w:rsid w:val="001674EA"/>
    <w:rsid w:val="001F17DE"/>
    <w:rsid w:val="0028674B"/>
    <w:rsid w:val="002C1A76"/>
    <w:rsid w:val="00327EF7"/>
    <w:rsid w:val="00337342"/>
    <w:rsid w:val="00346744"/>
    <w:rsid w:val="003A46B5"/>
    <w:rsid w:val="003A659C"/>
    <w:rsid w:val="00402B33"/>
    <w:rsid w:val="00406700"/>
    <w:rsid w:val="00421041"/>
    <w:rsid w:val="004430A0"/>
    <w:rsid w:val="00472094"/>
    <w:rsid w:val="004942EC"/>
    <w:rsid w:val="006C2B87"/>
    <w:rsid w:val="007E67FB"/>
    <w:rsid w:val="0080777E"/>
    <w:rsid w:val="00807811"/>
    <w:rsid w:val="00923982"/>
    <w:rsid w:val="00936B0A"/>
    <w:rsid w:val="009D3E97"/>
    <w:rsid w:val="00A8112E"/>
    <w:rsid w:val="00AF2F95"/>
    <w:rsid w:val="00B4386C"/>
    <w:rsid w:val="00BB2E34"/>
    <w:rsid w:val="00BC563B"/>
    <w:rsid w:val="00C4428E"/>
    <w:rsid w:val="00C55A81"/>
    <w:rsid w:val="00CA4B29"/>
    <w:rsid w:val="00CE429E"/>
    <w:rsid w:val="00CF2048"/>
    <w:rsid w:val="00D00A8B"/>
    <w:rsid w:val="00D158A8"/>
    <w:rsid w:val="00E64AD9"/>
    <w:rsid w:val="00FA4925"/>
    <w:rsid w:val="00FF5C5A"/>
    <w:rsid w:val="62C2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23982"/>
    <w:pPr>
      <w:numPr>
        <w:numId w:val="1"/>
      </w:numPr>
      <w:spacing w:beforeLines="50" w:afterLines="50" w:line="360" w:lineRule="auto"/>
      <w:jc w:val="left"/>
      <w:outlineLvl w:val="0"/>
    </w:pPr>
    <w:rPr>
      <w:rFonts w:eastAsia="黑体"/>
      <w:kern w:val="0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39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39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a"/>
    <w:link w:val="4Char"/>
    <w:qFormat/>
    <w:rsid w:val="00923982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Char"/>
    <w:qFormat/>
    <w:rsid w:val="00923982"/>
    <w:pPr>
      <w:numPr>
        <w:ilvl w:val="4"/>
        <w:numId w:val="1"/>
      </w:numPr>
      <w:spacing w:before="240" w:after="60" w:line="240" w:lineRule="atLeast"/>
      <w:jc w:val="left"/>
      <w:outlineLvl w:val="4"/>
    </w:pPr>
    <w:rPr>
      <w:rFonts w:eastAsia="PMingLiU"/>
      <w:kern w:val="0"/>
      <w:sz w:val="22"/>
      <w:szCs w:val="20"/>
      <w:lang w:eastAsia="en-US"/>
    </w:rPr>
  </w:style>
  <w:style w:type="paragraph" w:styleId="6">
    <w:name w:val="heading 6"/>
    <w:basedOn w:val="a"/>
    <w:next w:val="a"/>
    <w:link w:val="6Char"/>
    <w:qFormat/>
    <w:rsid w:val="00923982"/>
    <w:pPr>
      <w:numPr>
        <w:ilvl w:val="5"/>
        <w:numId w:val="1"/>
      </w:numPr>
      <w:spacing w:before="240" w:after="60" w:line="240" w:lineRule="atLeast"/>
      <w:jc w:val="left"/>
      <w:outlineLvl w:val="5"/>
    </w:pPr>
    <w:rPr>
      <w:rFonts w:eastAsia="PMingLiU"/>
      <w:i/>
      <w:kern w:val="0"/>
      <w:sz w:val="22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923982"/>
    <w:pPr>
      <w:numPr>
        <w:ilvl w:val="6"/>
        <w:numId w:val="1"/>
      </w:numPr>
      <w:spacing w:before="240" w:after="60" w:line="240" w:lineRule="atLeast"/>
      <w:jc w:val="left"/>
      <w:outlineLvl w:val="6"/>
    </w:pPr>
    <w:rPr>
      <w:rFonts w:eastAsia="PMingLiU"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Char"/>
    <w:qFormat/>
    <w:rsid w:val="00923982"/>
    <w:pPr>
      <w:numPr>
        <w:ilvl w:val="7"/>
        <w:numId w:val="1"/>
      </w:numPr>
      <w:spacing w:before="240" w:after="60" w:line="240" w:lineRule="atLeast"/>
      <w:jc w:val="left"/>
      <w:outlineLvl w:val="7"/>
    </w:pPr>
    <w:rPr>
      <w:rFonts w:eastAsia="PMingLiU"/>
      <w:i/>
      <w:kern w:val="0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qFormat/>
    <w:rsid w:val="00923982"/>
    <w:pPr>
      <w:numPr>
        <w:ilvl w:val="8"/>
        <w:numId w:val="1"/>
      </w:numPr>
      <w:spacing w:before="240" w:after="60" w:line="240" w:lineRule="atLeast"/>
      <w:jc w:val="left"/>
      <w:outlineLvl w:val="8"/>
    </w:pPr>
    <w:rPr>
      <w:rFonts w:eastAsia="PMingLiU"/>
      <w:b/>
      <w:i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923982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unhideWhenUsed/>
    <w:qFormat/>
    <w:rsid w:val="009239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23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23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2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qFormat/>
    <w:rsid w:val="00923982"/>
    <w:rPr>
      <w:color w:val="002B82"/>
      <w:u w:val="none"/>
    </w:rPr>
  </w:style>
  <w:style w:type="table" w:styleId="a9">
    <w:name w:val="Table Grid"/>
    <w:basedOn w:val="a1"/>
    <w:rsid w:val="009239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semiHidden/>
    <w:rsid w:val="0092398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3982"/>
    <w:rPr>
      <w:sz w:val="18"/>
      <w:szCs w:val="18"/>
    </w:rPr>
  </w:style>
  <w:style w:type="paragraph" w:customStyle="1" w:styleId="CMMI074">
    <w:name w:val="样式 CMMI正文 + 首行缩进:  0.74 厘米"/>
    <w:basedOn w:val="a"/>
    <w:qFormat/>
    <w:rsid w:val="00923982"/>
    <w:pPr>
      <w:spacing w:line="360" w:lineRule="auto"/>
      <w:ind w:firstLine="680"/>
      <w:jc w:val="left"/>
    </w:pPr>
    <w:rPr>
      <w:rFonts w:cs="宋体"/>
      <w:szCs w:val="20"/>
    </w:rPr>
  </w:style>
  <w:style w:type="paragraph" w:customStyle="1" w:styleId="aa">
    <w:name w:val="样式 题注 + 居中"/>
    <w:basedOn w:val="a3"/>
    <w:qFormat/>
    <w:rsid w:val="00923982"/>
    <w:pPr>
      <w:jc w:val="center"/>
    </w:pPr>
    <w:rPr>
      <w:rFonts w:ascii="Arial" w:hAnsi="Arial" w:cs="宋体"/>
      <w:b/>
    </w:rPr>
  </w:style>
  <w:style w:type="paragraph" w:customStyle="1" w:styleId="10">
    <w:name w:val="列出段落1"/>
    <w:basedOn w:val="a"/>
    <w:uiPriority w:val="34"/>
    <w:qFormat/>
    <w:rsid w:val="00923982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qFormat/>
    <w:rsid w:val="00923982"/>
    <w:rPr>
      <w:rFonts w:ascii="Times New Roman" w:eastAsia="黑体" w:hAnsi="Times New Roman" w:cs="Times New Roman"/>
      <w:kern w:val="0"/>
      <w:szCs w:val="20"/>
    </w:rPr>
  </w:style>
  <w:style w:type="character" w:customStyle="1" w:styleId="4Char">
    <w:name w:val="标题 4 Char"/>
    <w:basedOn w:val="a0"/>
    <w:link w:val="4"/>
    <w:rsid w:val="00923982"/>
    <w:rPr>
      <w:rFonts w:ascii="Times New Roman" w:eastAsia="黑体" w:hAnsi="Times New Roman" w:cs="Times New Roman"/>
      <w:kern w:val="0"/>
      <w:szCs w:val="20"/>
    </w:rPr>
  </w:style>
  <w:style w:type="character" w:customStyle="1" w:styleId="5Char">
    <w:name w:val="标题 5 Char"/>
    <w:basedOn w:val="a0"/>
    <w:link w:val="5"/>
    <w:rsid w:val="00923982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6Char">
    <w:name w:val="标题 6 Char"/>
    <w:basedOn w:val="a0"/>
    <w:link w:val="6"/>
    <w:qFormat/>
    <w:rsid w:val="00923982"/>
    <w:rPr>
      <w:rFonts w:ascii="Times New Roman" w:eastAsia="PMingLiU" w:hAnsi="Times New Roman" w:cs="Times New Roman"/>
      <w:i/>
      <w:kern w:val="0"/>
      <w:sz w:val="22"/>
      <w:szCs w:val="20"/>
      <w:lang w:eastAsia="en-US"/>
    </w:rPr>
  </w:style>
  <w:style w:type="character" w:customStyle="1" w:styleId="7Char">
    <w:name w:val="标题 7 Char"/>
    <w:basedOn w:val="a0"/>
    <w:link w:val="7"/>
    <w:qFormat/>
    <w:rsid w:val="00923982"/>
    <w:rPr>
      <w:rFonts w:ascii="Times New Roman" w:eastAsia="PMingLiU" w:hAnsi="Times New Roman" w:cs="Times New Roman"/>
      <w:kern w:val="0"/>
      <w:sz w:val="20"/>
      <w:szCs w:val="20"/>
      <w:lang w:eastAsia="en-US"/>
    </w:rPr>
  </w:style>
  <w:style w:type="character" w:customStyle="1" w:styleId="8Char">
    <w:name w:val="标题 8 Char"/>
    <w:basedOn w:val="a0"/>
    <w:link w:val="8"/>
    <w:rsid w:val="00923982"/>
    <w:rPr>
      <w:rFonts w:ascii="Times New Roman" w:eastAsia="PMingLiU" w:hAnsi="Times New Roman" w:cs="Times New Roman"/>
      <w:i/>
      <w:kern w:val="0"/>
      <w:sz w:val="20"/>
      <w:szCs w:val="20"/>
      <w:lang w:eastAsia="en-US"/>
    </w:rPr>
  </w:style>
  <w:style w:type="character" w:customStyle="1" w:styleId="9Char">
    <w:name w:val="标题 9 Char"/>
    <w:basedOn w:val="a0"/>
    <w:link w:val="9"/>
    <w:qFormat/>
    <w:rsid w:val="00923982"/>
    <w:rPr>
      <w:rFonts w:ascii="Times New Roman" w:eastAsia="PMingLiU" w:hAnsi="Times New Roman" w:cs="Times New Roman"/>
      <w:b/>
      <w:i/>
      <w:kern w:val="0"/>
      <w:sz w:val="18"/>
      <w:szCs w:val="20"/>
      <w:lang w:eastAsia="en-US"/>
    </w:rPr>
  </w:style>
  <w:style w:type="paragraph" w:customStyle="1" w:styleId="2CMMI20505">
    <w:name w:val="样式 标题 2CMMI标题2级 + 段前: 0.5 行 段后: 0.5 行"/>
    <w:basedOn w:val="2"/>
    <w:qFormat/>
    <w:rsid w:val="00923982"/>
    <w:pPr>
      <w:keepNext w:val="0"/>
      <w:keepLines w:val="0"/>
      <w:numPr>
        <w:ilvl w:val="1"/>
        <w:numId w:val="1"/>
      </w:numPr>
      <w:spacing w:beforeLines="50" w:afterLines="50" w:line="360" w:lineRule="auto"/>
      <w:jc w:val="left"/>
    </w:pPr>
    <w:rPr>
      <w:rFonts w:ascii="Times New Roman" w:eastAsia="黑体" w:hAnsi="Times New Roman" w:cs="宋体"/>
      <w:bCs w:val="0"/>
      <w:kern w:val="0"/>
      <w:sz w:val="21"/>
      <w:szCs w:val="20"/>
    </w:rPr>
  </w:style>
  <w:style w:type="paragraph" w:customStyle="1" w:styleId="3CMMI3SS-1110505">
    <w:name w:val="样式 标题 3CMMI标题3级SS-标题1.1.1 + 段前: 0.5 行 段后: 0.5 行"/>
    <w:basedOn w:val="3"/>
    <w:rsid w:val="00923982"/>
    <w:pPr>
      <w:keepNext w:val="0"/>
      <w:keepLines w:val="0"/>
      <w:numPr>
        <w:ilvl w:val="2"/>
        <w:numId w:val="1"/>
      </w:numPr>
      <w:spacing w:beforeLines="50" w:afterLines="50" w:line="360" w:lineRule="auto"/>
      <w:jc w:val="left"/>
    </w:pPr>
    <w:rPr>
      <w:rFonts w:eastAsia="黑体" w:cs="宋体"/>
      <w:b w:val="0"/>
      <w:bCs w:val="0"/>
      <w:kern w:val="0"/>
      <w:sz w:val="21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9239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923982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4CMMI40505">
    <w:name w:val="样式 标题 4CMMI标题4级 + 段前: 0.5 行 段后: 0.5 行"/>
    <w:basedOn w:val="4"/>
    <w:rsid w:val="00923982"/>
    <w:pPr>
      <w:spacing w:before="156" w:after="156"/>
    </w:pPr>
    <w:rPr>
      <w:rFonts w:cs="宋体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9239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10.96.11.23/KCMS/detail/detail.aspx?filename=DQJS201107023&amp;dbcode=CJFQ&amp;dbname=CJFD2011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10.96.11.23/kns55/loginid.aspx?uid=&amp;p=Navi%2FBridge.aspx%3FLinkType%3DBaseLink%26DBCode%3Dcjfq%26TableName%3DCJFQbaseinfo%26Field%3DBaseID%26Value%3DDPJY" TargetMode="Externa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://10.96.11.23/kcms/detail/%20%20%20%20%20%20%20%20%20%20%20%20%20%20%20%20search.aspx?dbcode=CJFQ&amp;sfield=au&amp;skey=%e6%9d%a8%e7%a6%8f%e5%ae%87&amp;code=2152490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B3C05A-E798-4389-8A73-FC70D787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776</Words>
  <Characters>4424</Characters>
  <Application>Microsoft Office Word</Application>
  <DocSecurity>0</DocSecurity>
  <Lines>36</Lines>
  <Paragraphs>10</Paragraphs>
  <ScaleCrop>false</ScaleCrop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技术中心黄爱萍</dc:creator>
  <cp:lastModifiedBy>xbany</cp:lastModifiedBy>
  <cp:revision>2</cp:revision>
  <dcterms:created xsi:type="dcterms:W3CDTF">2017-10-16T08:47:00Z</dcterms:created>
  <dcterms:modified xsi:type="dcterms:W3CDTF">2017-10-16T08:47:00Z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