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54" w:rsidRDefault="003C0348">
      <w:pPr>
        <w:spacing w:line="720" w:lineRule="auto"/>
        <w:jc w:val="center"/>
        <w:rPr>
          <w:rFonts w:ascii="华文仿宋" w:eastAsia="华文仿宋" w:hAnsi="华文仿宋"/>
          <w:b/>
          <w:bCs/>
          <w:spacing w:val="20"/>
          <w:sz w:val="36"/>
          <w:szCs w:val="36"/>
        </w:rPr>
      </w:pPr>
      <w:r>
        <w:rPr>
          <w:rFonts w:ascii="宋体" w:eastAsia="宋体" w:hAnsi="宋体" w:cs="宋体" w:hint="eastAsia"/>
          <w:b/>
          <w:bCs/>
          <w:spacing w:val="20"/>
          <w:sz w:val="36"/>
          <w:szCs w:val="36"/>
        </w:rPr>
        <w:t>成也萧何</w:t>
      </w:r>
      <w:r>
        <w:rPr>
          <w:rFonts w:ascii="宋体" w:eastAsia="宋体" w:hAnsi="宋体" w:cs="宋体" w:hint="eastAsia"/>
          <w:b/>
          <w:bCs/>
          <w:spacing w:val="20"/>
          <w:sz w:val="36"/>
          <w:szCs w:val="36"/>
        </w:rPr>
        <w:t xml:space="preserve"> </w:t>
      </w:r>
      <w:r>
        <w:rPr>
          <w:rFonts w:ascii="宋体" w:eastAsia="宋体" w:hAnsi="宋体" w:cs="宋体" w:hint="eastAsia"/>
          <w:b/>
          <w:bCs/>
          <w:spacing w:val="20"/>
          <w:sz w:val="36"/>
          <w:szCs w:val="36"/>
        </w:rPr>
        <w:t>败也萧何</w:t>
      </w:r>
    </w:p>
    <w:p w:rsidR="000D0154" w:rsidRDefault="003C0348">
      <w:pPr>
        <w:jc w:val="right"/>
      </w:pPr>
      <w:r>
        <w:rPr>
          <w:rFonts w:ascii="宋体" w:eastAsia="宋体" w:hAnsi="宋体" w:cs="宋体" w:hint="eastAsia"/>
          <w:spacing w:val="20"/>
          <w:sz w:val="32"/>
          <w:szCs w:val="32"/>
        </w:rPr>
        <w:t>——我看</w:t>
      </w:r>
      <w:r>
        <w:rPr>
          <w:rFonts w:hint="eastAsia"/>
          <w:sz w:val="32"/>
          <w:szCs w:val="32"/>
        </w:rPr>
        <w:t>流民阶层与东晋社会</w:t>
      </w:r>
    </w:p>
    <w:p w:rsidR="000D0154" w:rsidRDefault="003C0348">
      <w:pPr>
        <w:spacing w:line="300" w:lineRule="auto"/>
        <w:jc w:val="center"/>
        <w:rPr>
          <w:b/>
          <w:bCs/>
          <w:szCs w:val="21"/>
        </w:rPr>
      </w:pPr>
      <w:r>
        <w:rPr>
          <w:rFonts w:ascii="Tahoma" w:eastAsia="Tahoma" w:hAnsi="Tahoma" w:cs="Tahoma" w:hint="eastAsia"/>
          <w:color w:val="444444"/>
          <w:sz w:val="18"/>
          <w:szCs w:val="18"/>
          <w:shd w:val="clear" w:color="auto" w:fill="FBFFE4"/>
        </w:rPr>
        <w:t>赵荣旭</w:t>
      </w:r>
    </w:p>
    <w:p w:rsidR="000D0154" w:rsidRDefault="000D0154">
      <w:pPr>
        <w:spacing w:line="300" w:lineRule="auto"/>
        <w:ind w:firstLine="360"/>
        <w:jc w:val="left"/>
        <w:rPr>
          <w:b/>
          <w:sz w:val="18"/>
          <w:szCs w:val="18"/>
        </w:rPr>
      </w:pPr>
    </w:p>
    <w:p w:rsidR="000D0154" w:rsidRDefault="003C0348">
      <w:pPr>
        <w:spacing w:line="300" w:lineRule="auto"/>
        <w:ind w:firstLine="360"/>
        <w:jc w:val="left"/>
        <w:rPr>
          <w:sz w:val="18"/>
          <w:szCs w:val="18"/>
        </w:rPr>
      </w:pPr>
      <w:r>
        <w:rPr>
          <w:rFonts w:hint="eastAsia"/>
          <w:b/>
          <w:sz w:val="18"/>
          <w:szCs w:val="18"/>
        </w:rPr>
        <w:t>摘</w:t>
      </w:r>
      <w:r>
        <w:rPr>
          <w:rFonts w:hint="eastAsia"/>
          <w:b/>
          <w:sz w:val="18"/>
          <w:szCs w:val="18"/>
        </w:rPr>
        <w:t xml:space="preserve">  </w:t>
      </w:r>
      <w:r>
        <w:rPr>
          <w:rFonts w:hint="eastAsia"/>
          <w:b/>
          <w:sz w:val="18"/>
          <w:szCs w:val="18"/>
        </w:rPr>
        <w:t>要</w:t>
      </w:r>
      <w:r>
        <w:rPr>
          <w:rFonts w:hint="eastAsia"/>
          <w:sz w:val="18"/>
          <w:szCs w:val="18"/>
        </w:rPr>
        <w:t xml:space="preserve">  </w:t>
      </w:r>
      <w:r>
        <w:rPr>
          <w:rFonts w:hint="eastAsia"/>
          <w:sz w:val="18"/>
          <w:szCs w:val="18"/>
        </w:rPr>
        <w:t>严格来说，把流民列为一个独立的社会阶层是不准确的，按照传统的“四民”等级划分，流民是农民阶级在一种特殊历史状态下衍生出来的特殊群体，并不会长期独立的存在于社会之中，它会随多方面因素的改变而此消彼长，因而是一个极不稳定的社会群体。西晋</w:t>
      </w:r>
      <w:r>
        <w:rPr>
          <w:rFonts w:hint="eastAsia"/>
          <w:sz w:val="18"/>
          <w:szCs w:val="18"/>
        </w:rPr>
        <w:t>几经变乱</w:t>
      </w:r>
      <w:r>
        <w:rPr>
          <w:rFonts w:hint="eastAsia"/>
          <w:sz w:val="18"/>
          <w:szCs w:val="18"/>
        </w:rPr>
        <w:t>后，</w:t>
      </w:r>
      <w:r>
        <w:rPr>
          <w:rFonts w:hint="eastAsia"/>
          <w:sz w:val="18"/>
          <w:szCs w:val="18"/>
        </w:rPr>
        <w:t>出现</w:t>
      </w:r>
      <w:r>
        <w:rPr>
          <w:rFonts w:hint="eastAsia"/>
          <w:sz w:val="18"/>
          <w:szCs w:val="18"/>
        </w:rPr>
        <w:t>了大量流民，</w:t>
      </w:r>
      <w:r>
        <w:rPr>
          <w:rFonts w:hint="eastAsia"/>
          <w:sz w:val="18"/>
          <w:szCs w:val="18"/>
        </w:rPr>
        <w:t>因而造</w:t>
      </w:r>
      <w:r>
        <w:rPr>
          <w:rFonts w:hint="eastAsia"/>
          <w:sz w:val="18"/>
          <w:szCs w:val="18"/>
        </w:rPr>
        <w:t>成了严重的流民问题。流民</w:t>
      </w:r>
      <w:r>
        <w:rPr>
          <w:rFonts w:hint="eastAsia"/>
          <w:sz w:val="18"/>
          <w:szCs w:val="18"/>
        </w:rPr>
        <w:t>阶层</w:t>
      </w:r>
      <w:r>
        <w:rPr>
          <w:rFonts w:hint="eastAsia"/>
          <w:sz w:val="18"/>
          <w:szCs w:val="18"/>
        </w:rPr>
        <w:t>迅速</w:t>
      </w:r>
      <w:r>
        <w:rPr>
          <w:rFonts w:hint="eastAsia"/>
          <w:sz w:val="18"/>
          <w:szCs w:val="18"/>
        </w:rPr>
        <w:t>膨胀，</w:t>
      </w:r>
      <w:r>
        <w:rPr>
          <w:rFonts w:hint="eastAsia"/>
          <w:sz w:val="18"/>
          <w:szCs w:val="18"/>
        </w:rPr>
        <w:t>使</w:t>
      </w:r>
      <w:r>
        <w:rPr>
          <w:rFonts w:hint="eastAsia"/>
          <w:sz w:val="18"/>
          <w:szCs w:val="18"/>
        </w:rPr>
        <w:t>司马氏政权不得不</w:t>
      </w:r>
      <w:r>
        <w:rPr>
          <w:rFonts w:hint="eastAsia"/>
          <w:sz w:val="18"/>
          <w:szCs w:val="18"/>
        </w:rPr>
        <w:t>设法解决流民问题。此后，随着北方流民的大量南下，南方的经济及军事实力也有所增强，为司马氏政权的重建奠定了基础。流民形成的军事政治集团如京口集团及北府兵等，有效抵御了北方少数民族的南侵，也成为平衡朝堂之上各门阀士族的一颗棋子。东晋政权与流民势力密不可分，为了突出流民势力的重要性，故笔者将流民在</w:t>
      </w:r>
      <w:r>
        <w:rPr>
          <w:rFonts w:hint="eastAsia"/>
          <w:sz w:val="18"/>
          <w:szCs w:val="18"/>
        </w:rPr>
        <w:t>两晋之际</w:t>
      </w:r>
      <w:r>
        <w:rPr>
          <w:rFonts w:hint="eastAsia"/>
          <w:sz w:val="18"/>
          <w:szCs w:val="18"/>
        </w:rPr>
        <w:t>这一特殊的历史时期另划为一阶层，本文即是笔者对于流民在政权塑造、</w:t>
      </w:r>
      <w:r>
        <w:rPr>
          <w:rFonts w:hint="eastAsia"/>
          <w:sz w:val="18"/>
          <w:szCs w:val="18"/>
        </w:rPr>
        <w:t>社会生活</w:t>
      </w:r>
      <w:r>
        <w:rPr>
          <w:rFonts w:hint="eastAsia"/>
          <w:sz w:val="18"/>
          <w:szCs w:val="18"/>
        </w:rPr>
        <w:t>方面作用的看法及理解。</w:t>
      </w:r>
    </w:p>
    <w:p w:rsidR="000D0154" w:rsidRDefault="003C0348">
      <w:pPr>
        <w:spacing w:line="300" w:lineRule="auto"/>
        <w:ind w:firstLine="360"/>
        <w:jc w:val="left"/>
        <w:rPr>
          <w:sz w:val="18"/>
          <w:szCs w:val="18"/>
        </w:rPr>
      </w:pPr>
      <w:r>
        <w:rPr>
          <w:rFonts w:hint="eastAsia"/>
          <w:b/>
          <w:sz w:val="18"/>
          <w:szCs w:val="18"/>
        </w:rPr>
        <w:t>关键词</w:t>
      </w:r>
      <w:r>
        <w:rPr>
          <w:rFonts w:hint="eastAsia"/>
          <w:sz w:val="18"/>
          <w:szCs w:val="18"/>
        </w:rPr>
        <w:t xml:space="preserve">  </w:t>
      </w:r>
      <w:r>
        <w:rPr>
          <w:rFonts w:hint="eastAsia"/>
          <w:sz w:val="18"/>
          <w:szCs w:val="18"/>
        </w:rPr>
        <w:t>流民；</w:t>
      </w:r>
      <w:r>
        <w:rPr>
          <w:rFonts w:hint="eastAsia"/>
          <w:sz w:val="18"/>
          <w:szCs w:val="18"/>
        </w:rPr>
        <w:t>两</w:t>
      </w:r>
      <w:r>
        <w:rPr>
          <w:rFonts w:hint="eastAsia"/>
          <w:sz w:val="18"/>
          <w:szCs w:val="18"/>
        </w:rPr>
        <w:t>晋；社会发展</w:t>
      </w:r>
    </w:p>
    <w:p w:rsidR="000D0154" w:rsidRDefault="000D0154">
      <w:pPr>
        <w:spacing w:line="300" w:lineRule="auto"/>
        <w:ind w:firstLine="360"/>
        <w:jc w:val="left"/>
        <w:rPr>
          <w:sz w:val="24"/>
        </w:rPr>
      </w:pPr>
    </w:p>
    <w:p w:rsidR="000D0154" w:rsidRDefault="000D0154">
      <w:pPr>
        <w:spacing w:line="300" w:lineRule="auto"/>
        <w:ind w:firstLine="360"/>
        <w:jc w:val="left"/>
        <w:rPr>
          <w:sz w:val="24"/>
        </w:rPr>
      </w:pPr>
    </w:p>
    <w:p w:rsidR="000D0154" w:rsidRDefault="003C0348">
      <w:pPr>
        <w:spacing w:line="300" w:lineRule="auto"/>
        <w:ind w:firstLineChars="200" w:firstLine="480"/>
        <w:jc w:val="left"/>
        <w:rPr>
          <w:sz w:val="24"/>
        </w:rPr>
      </w:pPr>
      <w:r>
        <w:rPr>
          <w:rFonts w:hint="eastAsia"/>
          <w:sz w:val="24"/>
        </w:rPr>
        <w:t>流民阶层作为一个规模较大的群体性组织，在西晋末期乃至东晋一朝都有着广泛而深刻的影响。一方面，流民集团大量盘踞在江北地区，对外有效抵御了刘渊、石勒为首的少数民族政权铁蹄的践踏，使东晋能够安守一隅；对内则起到平衡门阀与皇权、门阀与门阀的作用，使东晋的政治格局处于一种相对稳定的动态平衡之中。此外，流民阶层的南下有效的促进南方地区经济的发展及民族融合，这将于下文详细的探讨。另一方面，在东晋中后期，流民集团逐渐摆脱侨姓士族的控制，更多地以一支相对独立的政治力量出现于历史舞台，最终北府兵将领刘裕异军突起，成为东晋一朝的</w:t>
      </w:r>
      <w:r>
        <w:rPr>
          <w:rFonts w:hint="eastAsia"/>
          <w:sz w:val="24"/>
        </w:rPr>
        <w:t>掘墓人。</w:t>
      </w:r>
    </w:p>
    <w:p w:rsidR="000D0154" w:rsidRDefault="003C0348">
      <w:pPr>
        <w:numPr>
          <w:ilvl w:val="0"/>
          <w:numId w:val="1"/>
        </w:numPr>
        <w:spacing w:line="300" w:lineRule="auto"/>
        <w:ind w:firstLineChars="200" w:firstLine="482"/>
        <w:jc w:val="left"/>
        <w:rPr>
          <w:b/>
          <w:sz w:val="24"/>
        </w:rPr>
      </w:pPr>
      <w:r>
        <w:rPr>
          <w:rFonts w:hint="eastAsia"/>
          <w:b/>
          <w:sz w:val="24"/>
        </w:rPr>
        <w:t>西晋末期南迁流民的原因与分化</w:t>
      </w:r>
    </w:p>
    <w:p w:rsidR="000D0154" w:rsidRDefault="003C0348">
      <w:pPr>
        <w:spacing w:line="300" w:lineRule="auto"/>
        <w:ind w:firstLine="480"/>
        <w:jc w:val="left"/>
        <w:rPr>
          <w:bCs/>
          <w:sz w:val="24"/>
        </w:rPr>
      </w:pPr>
      <w:r>
        <w:rPr>
          <w:rFonts w:hint="eastAsia"/>
          <w:bCs/>
          <w:sz w:val="24"/>
        </w:rPr>
        <w:t>西晋末年，尤其是八王之乱和永嘉之乱后，其社会环境早已不适合深受传统儒家文化熏陶的人们生活居住：其一，西晋末年战乱频发，中原王朝与北方少数民族摩擦不断，“</w:t>
      </w:r>
      <w:r>
        <w:rPr>
          <w:rFonts w:ascii="宋体" w:eastAsia="宋体" w:hAnsi="宋体" w:cs="宋体" w:hint="eastAsia"/>
          <w:color w:val="333333"/>
          <w:sz w:val="24"/>
          <w:shd w:val="clear" w:color="auto" w:fill="F7EEE0"/>
        </w:rPr>
        <w:t>自永嘉丧乱，百姓流亡，中原萧条，千里无烟，饥寒流陨，相继沟壑</w:t>
      </w:r>
      <w:r>
        <w:rPr>
          <w:rFonts w:hint="eastAsia"/>
          <w:bCs/>
          <w:sz w:val="24"/>
        </w:rPr>
        <w:t>”</w:t>
      </w:r>
      <w:r>
        <w:rPr>
          <w:rStyle w:val="a4"/>
          <w:rFonts w:hint="eastAsia"/>
          <w:bCs/>
          <w:sz w:val="24"/>
        </w:rPr>
        <w:footnoteReference w:id="1"/>
      </w:r>
      <w:r>
        <w:rPr>
          <w:rFonts w:hint="eastAsia"/>
          <w:bCs/>
          <w:sz w:val="24"/>
        </w:rPr>
        <w:t>。战争范围的不断扩大及发生频率的不断上升给人民的生产生活造成极大的破坏，导致世家大族及流民被迫迁徙他乡以谋生路。其二，受中国传统思想“华夷之辨”影响，自奉正统的中原地区拥有强烈的民族认同感与自豪感，对居于“蛮荒之地”少数民族多多少少带有一些歧视及排斥，“</w:t>
      </w:r>
      <w:r>
        <w:rPr>
          <w:rFonts w:ascii="Arial" w:eastAsia="宋体" w:hAnsi="Arial" w:cs="Arial"/>
          <w:color w:val="333333"/>
          <w:sz w:val="24"/>
          <w:shd w:val="clear" w:color="auto" w:fill="FFFFFF"/>
        </w:rPr>
        <w:t>非</w:t>
      </w:r>
      <w:r>
        <w:rPr>
          <w:rFonts w:ascii="Arial" w:eastAsia="宋体" w:hAnsi="Arial" w:cs="Arial"/>
          <w:color w:val="333333"/>
          <w:sz w:val="24"/>
          <w:shd w:val="clear" w:color="auto" w:fill="FFFFFF"/>
        </w:rPr>
        <w:t>我族类，其心必</w:t>
      </w:r>
      <w:r>
        <w:rPr>
          <w:rFonts w:ascii="Arial" w:eastAsia="宋体" w:hAnsi="Arial" w:cs="Arial"/>
          <w:color w:val="333333"/>
          <w:sz w:val="24"/>
          <w:shd w:val="clear" w:color="auto" w:fill="FFFFFF"/>
        </w:rPr>
        <w:lastRenderedPageBreak/>
        <w:t>异，戎狄志态，不与华同</w:t>
      </w:r>
      <w:r>
        <w:rPr>
          <w:rFonts w:hint="eastAsia"/>
          <w:bCs/>
          <w:sz w:val="24"/>
        </w:rPr>
        <w:t>”</w:t>
      </w:r>
      <w:r>
        <w:rPr>
          <w:rStyle w:val="a4"/>
          <w:rFonts w:hint="eastAsia"/>
          <w:bCs/>
          <w:sz w:val="24"/>
        </w:rPr>
        <w:footnoteReference w:id="2"/>
      </w:r>
      <w:r>
        <w:rPr>
          <w:rFonts w:hint="eastAsia"/>
          <w:bCs/>
          <w:sz w:val="24"/>
        </w:rPr>
        <w:t>正是这种尚同排异心理的写照。加之游牧民族统治的暴虐与对占领地区的人民大肆仇杀，使中原地区的汉族人民对于少数民族的统治带有一种恐惧及仇视心理，因而汉族人民自动放弃家园纷纷逃离，促成了北民的集体南迁。</w:t>
      </w:r>
    </w:p>
    <w:p w:rsidR="000D0154" w:rsidRDefault="003C0348">
      <w:pPr>
        <w:spacing w:line="300" w:lineRule="auto"/>
        <w:ind w:firstLine="480"/>
        <w:jc w:val="left"/>
        <w:rPr>
          <w:rFonts w:ascii="Arial" w:eastAsia="宋体" w:hAnsi="Arial" w:cs="Arial"/>
          <w:color w:val="333333"/>
          <w:sz w:val="24"/>
          <w:shd w:val="clear" w:color="auto" w:fill="FFFFFF"/>
        </w:rPr>
      </w:pPr>
      <w:r>
        <w:rPr>
          <w:rFonts w:hint="eastAsia"/>
          <w:bCs/>
          <w:sz w:val="24"/>
        </w:rPr>
        <w:t>为了谋求更加稳定的生产生活环境，北方地区的“幽、冀、青、并、兖州及徐州之淮北流民，相率过淮，亦有过江在晋陵郡界者”</w:t>
      </w:r>
      <w:r>
        <w:rPr>
          <w:rStyle w:val="a4"/>
          <w:rFonts w:hint="eastAsia"/>
          <w:bCs/>
          <w:sz w:val="24"/>
        </w:rPr>
        <w:footnoteReference w:id="3"/>
      </w:r>
      <w:r>
        <w:rPr>
          <w:rFonts w:hint="eastAsia"/>
          <w:bCs/>
          <w:sz w:val="24"/>
        </w:rPr>
        <w:t>，都城洛阳被攻陷后“中州士女避乱江左者十六七”</w:t>
      </w:r>
      <w:r>
        <w:rPr>
          <w:rStyle w:val="a4"/>
          <w:rFonts w:hint="eastAsia"/>
          <w:bCs/>
          <w:sz w:val="24"/>
        </w:rPr>
        <w:footnoteReference w:id="4"/>
      </w:r>
      <w:r>
        <w:rPr>
          <w:rFonts w:hint="eastAsia"/>
          <w:bCs/>
          <w:sz w:val="24"/>
        </w:rPr>
        <w:t>。这些人从中原地区四处奔散，纷纷向较安定的周边地区迁徙，从而形成了规模很大的流民潮，其中又尤以南渡者为多。这些</w:t>
      </w:r>
      <w:r>
        <w:rPr>
          <w:rFonts w:hint="eastAsia"/>
          <w:bCs/>
          <w:sz w:val="24"/>
        </w:rPr>
        <w:t>南渡的流民多以集体的形式共同行动，按人身自由程度大致可分为两类：一类是随侨姓氏族南下的部曲、宾客等人身依附力极强的贫民组织；另一类则是以宗族为单位或同处相同地域的自耕农在地方有一定影响力人的领导下联合形成的自耕农组织，这两类南迁组织在此并称为“流民集团”。</w:t>
      </w:r>
      <w:r>
        <w:rPr>
          <w:rFonts w:hint="eastAsia"/>
          <w:sz w:val="24"/>
        </w:rPr>
        <w:t>贫民组织的渊源可以追溯到东汉时期。东汉庄园经济广泛存在，使得大量自耕农转化为</w:t>
      </w:r>
      <w:r>
        <w:rPr>
          <w:rFonts w:ascii="Arial" w:hAnsi="Arial" w:cs="Arial" w:hint="eastAsia"/>
          <w:color w:val="333333"/>
          <w:sz w:val="24"/>
          <w:shd w:val="clear" w:color="auto" w:fill="FFFFFF"/>
        </w:rPr>
        <w:t>宾客、徒附等，打破了原有小农经济相对分散封闭的特点，使小农这样一个社会地位较低、脆弱且相对保守的阶层聚集在一起，形成了一个个政治地位独立、内部结构分工体系较为完善并且基本可以实现生</w:t>
      </w:r>
      <w:r>
        <w:rPr>
          <w:rFonts w:ascii="Arial" w:hAnsi="Arial" w:cs="Arial" w:hint="eastAsia"/>
          <w:color w:val="333333"/>
          <w:sz w:val="24"/>
          <w:shd w:val="clear" w:color="auto" w:fill="FFFFFF"/>
        </w:rPr>
        <w:t>产自给自足的封闭组织。贫民组织与地主之间有着极强的依附性，他们“生有终身之勤</w:t>
      </w:r>
      <w:r>
        <w:rPr>
          <w:rFonts w:ascii="Arial" w:hAnsi="Arial" w:cs="Arial"/>
          <w:color w:val="333333"/>
          <w:sz w:val="24"/>
          <w:shd w:val="clear" w:color="auto" w:fill="FFFFFF"/>
        </w:rPr>
        <w:t>，</w:t>
      </w:r>
      <w:r>
        <w:rPr>
          <w:rFonts w:ascii="Arial" w:hAnsi="Arial" w:cs="Arial" w:hint="eastAsia"/>
          <w:color w:val="333333"/>
          <w:sz w:val="24"/>
          <w:shd w:val="clear" w:color="auto" w:fill="FFFFFF"/>
        </w:rPr>
        <w:t>死有暴骨之忧</w:t>
      </w:r>
      <w:r>
        <w:rPr>
          <w:rFonts w:ascii="Arial" w:hAnsi="Arial" w:cs="Arial"/>
          <w:color w:val="333333"/>
          <w:sz w:val="24"/>
          <w:shd w:val="clear" w:color="auto" w:fill="FFFFFF"/>
        </w:rPr>
        <w:t>。</w:t>
      </w:r>
      <w:r>
        <w:rPr>
          <w:rFonts w:ascii="Arial" w:hAnsi="Arial" w:cs="Arial" w:hint="eastAsia"/>
          <w:color w:val="333333"/>
          <w:sz w:val="24"/>
          <w:shd w:val="clear" w:color="auto" w:fill="FFFFFF"/>
        </w:rPr>
        <w:t>岁小不登</w:t>
      </w:r>
      <w:r>
        <w:rPr>
          <w:rFonts w:ascii="Arial" w:hAnsi="Arial" w:cs="Arial"/>
          <w:color w:val="333333"/>
          <w:sz w:val="24"/>
          <w:shd w:val="clear" w:color="auto" w:fill="FFFFFF"/>
        </w:rPr>
        <w:t>，</w:t>
      </w:r>
      <w:r>
        <w:rPr>
          <w:rFonts w:ascii="Arial" w:hAnsi="Arial" w:cs="Arial" w:hint="eastAsia"/>
          <w:color w:val="333333"/>
          <w:sz w:val="24"/>
          <w:shd w:val="clear" w:color="auto" w:fill="FFFFFF"/>
        </w:rPr>
        <w:t>流离沟壑</w:t>
      </w:r>
      <w:r>
        <w:rPr>
          <w:rFonts w:ascii="Arial" w:hAnsi="Arial" w:cs="Arial"/>
          <w:color w:val="333333"/>
          <w:sz w:val="24"/>
          <w:shd w:val="clear" w:color="auto" w:fill="FFFFFF"/>
        </w:rPr>
        <w:t>，</w:t>
      </w:r>
      <w:r>
        <w:rPr>
          <w:rFonts w:ascii="Arial" w:hAnsi="Arial" w:cs="Arial" w:hint="eastAsia"/>
          <w:color w:val="333333"/>
          <w:sz w:val="24"/>
          <w:shd w:val="clear" w:color="auto" w:fill="FFFFFF"/>
        </w:rPr>
        <w:t>嫁妻买子”</w:t>
      </w:r>
      <w:r>
        <w:rPr>
          <w:rStyle w:val="a4"/>
          <w:rFonts w:ascii="Arial" w:hAnsi="Arial" w:cs="Arial"/>
          <w:color w:val="333333"/>
          <w:sz w:val="24"/>
          <w:shd w:val="clear" w:color="auto" w:fill="FFFFFF"/>
        </w:rPr>
        <w:footnoteReference w:id="5"/>
      </w:r>
      <w:r>
        <w:rPr>
          <w:rFonts w:ascii="Arial" w:hAnsi="Arial" w:cs="Arial" w:hint="eastAsia"/>
          <w:color w:val="333333"/>
          <w:sz w:val="24"/>
          <w:shd w:val="clear" w:color="auto" w:fill="FFFFFF"/>
        </w:rPr>
        <w:t>，这也为两晋之际的贫民组织跟随侨姓世族集体性南迁打下了伏笔。到西晋时期，司马政权实行</w:t>
      </w:r>
      <w:r>
        <w:rPr>
          <w:rFonts w:ascii="Arial" w:eastAsia="宋体" w:hAnsi="Arial" w:cs="Arial" w:hint="eastAsia"/>
          <w:color w:val="333333"/>
          <w:sz w:val="24"/>
          <w:shd w:val="clear" w:color="auto" w:fill="FFFFFF"/>
        </w:rPr>
        <w:t>占田制及荫客制，对于官僚士族占田、荫客、荫亲属等给予一定的特权，在国家制度层面确认和保护他们已占到大量土地和户口的既成事实，使贫民集团和豪门士族之间的依附关系进一步加强。两晋之际，大量在朝为官的高门士族及散居于地方的次等士族纷纷南下，依附于它们的贫民组织亦不得不随之南渡，构成了南下流民集团的重要一部分。</w:t>
      </w:r>
    </w:p>
    <w:p w:rsidR="000D0154" w:rsidRDefault="003C0348">
      <w:pPr>
        <w:spacing w:line="300" w:lineRule="auto"/>
        <w:ind w:firstLine="480"/>
        <w:jc w:val="left"/>
        <w:rPr>
          <w:rFonts w:ascii="Arial" w:eastAsia="宋体" w:hAnsi="Arial" w:cs="Arial"/>
          <w:color w:val="333333"/>
          <w:sz w:val="24"/>
          <w:shd w:val="clear" w:color="auto" w:fill="FFFFFF"/>
        </w:rPr>
      </w:pPr>
      <w:r>
        <w:rPr>
          <w:rFonts w:ascii="Arial" w:eastAsia="宋体" w:hAnsi="Arial" w:cs="Arial" w:hint="eastAsia"/>
          <w:color w:val="333333"/>
          <w:sz w:val="24"/>
          <w:shd w:val="clear" w:color="auto" w:fill="FFFFFF"/>
        </w:rPr>
        <w:t>相比之下，自耕农组织的结合更具一定的偶然性，他们在宗族家长或地方官的带领下，往往是县、乡、里整体的迁移，在杜</w:t>
      </w:r>
      <w:r>
        <w:rPr>
          <w:rFonts w:ascii="宋体" w:eastAsia="宋体" w:hAnsi="宋体" w:cs="宋体" w:hint="eastAsia"/>
          <w:color w:val="333333"/>
          <w:sz w:val="24"/>
          <w:shd w:val="clear" w:color="auto" w:fill="F7EEE0"/>
        </w:rPr>
        <w:t>弢给应詹的遗书曾这样描述自己的早年经历：梁、益两州的流民</w:t>
      </w:r>
      <w:r>
        <w:rPr>
          <w:rFonts w:ascii="Arial" w:eastAsia="宋体" w:hAnsi="Arial" w:cs="Arial" w:hint="eastAsia"/>
          <w:color w:val="333333"/>
          <w:sz w:val="24"/>
          <w:shd w:val="clear" w:color="auto" w:fill="FFFFFF"/>
        </w:rPr>
        <w:t>“天步维艰，始自吾州；州党流移，在于荆土”</w:t>
      </w:r>
      <w:r>
        <w:rPr>
          <w:rStyle w:val="a4"/>
          <w:rFonts w:ascii="Arial" w:eastAsia="宋体" w:hAnsi="Arial" w:cs="Arial" w:hint="eastAsia"/>
          <w:color w:val="333333"/>
          <w:sz w:val="24"/>
          <w:shd w:val="clear" w:color="auto" w:fill="FFFFFF"/>
        </w:rPr>
        <w:footnoteReference w:id="6"/>
      </w:r>
      <w:r>
        <w:rPr>
          <w:rFonts w:ascii="Arial" w:eastAsia="宋体" w:hAnsi="Arial" w:cs="Arial" w:hint="eastAsia"/>
          <w:color w:val="333333"/>
          <w:sz w:val="24"/>
          <w:shd w:val="clear" w:color="auto" w:fill="FFFFFF"/>
        </w:rPr>
        <w:t>。从这里可以看出，北方的自耕农流民大都是以地域为单位有组织的向南集体迁徙。与杜</w:t>
      </w:r>
      <w:r>
        <w:rPr>
          <w:rFonts w:ascii="宋体" w:eastAsia="宋体" w:hAnsi="宋体" w:cs="宋体" w:hint="eastAsia"/>
          <w:color w:val="333333"/>
          <w:sz w:val="24"/>
          <w:shd w:val="clear" w:color="auto" w:fill="F7EEE0"/>
        </w:rPr>
        <w:t>弢同时期的苏峻，其父为安乐相，苏俊本人也“有才学，仕郡主簿；年十八，举孝廉”。在永嘉之乱后</w:t>
      </w:r>
      <w:r>
        <w:rPr>
          <w:rFonts w:ascii="宋体" w:eastAsia="宋体" w:hAnsi="宋体" w:cs="宋体" w:hint="eastAsia"/>
          <w:color w:val="333333"/>
          <w:sz w:val="24"/>
          <w:shd w:val="clear" w:color="auto" w:fill="F7EEE0"/>
        </w:rPr>
        <w:t>,</w:t>
      </w:r>
      <w:r>
        <w:rPr>
          <w:rFonts w:ascii="宋体" w:eastAsia="宋体" w:hAnsi="宋体" w:cs="宋体" w:hint="eastAsia"/>
          <w:color w:val="333333"/>
          <w:sz w:val="24"/>
          <w:shd w:val="clear" w:color="auto" w:fill="F7EEE0"/>
        </w:rPr>
        <w:t>“百姓流亡，所在屯聚，峻纠合得数千家，结垒于本县”而且“于时豪杰所在屯聚，而峻最强”，在曹嶷为青州刺史时将要讨伐苏峻，苏峻“惧，率其</w:t>
      </w:r>
      <w:r>
        <w:rPr>
          <w:rFonts w:ascii="宋体" w:eastAsia="宋体" w:hAnsi="宋体" w:cs="宋体" w:hint="eastAsia"/>
          <w:color w:val="333333"/>
          <w:sz w:val="24"/>
          <w:shd w:val="clear" w:color="auto" w:fill="F7EEE0"/>
        </w:rPr>
        <w:t>所部数百家泛海南渡”</w:t>
      </w:r>
      <w:r>
        <w:rPr>
          <w:rStyle w:val="a4"/>
          <w:rFonts w:ascii="宋体" w:eastAsia="宋体" w:hAnsi="宋体" w:cs="宋体" w:hint="eastAsia"/>
          <w:color w:val="333333"/>
          <w:sz w:val="24"/>
          <w:shd w:val="clear" w:color="auto" w:fill="F7EEE0"/>
        </w:rPr>
        <w:footnoteReference w:id="7"/>
      </w:r>
      <w:r>
        <w:rPr>
          <w:rFonts w:ascii="宋体" w:eastAsia="宋体" w:hAnsi="宋体" w:cs="宋体" w:hint="eastAsia"/>
          <w:color w:val="333333"/>
          <w:sz w:val="24"/>
          <w:shd w:val="clear" w:color="auto" w:fill="F7EEE0"/>
        </w:rPr>
        <w:t>，由此可以看出，苏峻作为</w:t>
      </w:r>
      <w:r>
        <w:rPr>
          <w:rFonts w:ascii="宋体" w:eastAsia="宋体" w:hAnsi="宋体" w:cs="宋体" w:hint="eastAsia"/>
          <w:color w:val="333333"/>
          <w:sz w:val="24"/>
          <w:shd w:val="clear" w:color="auto" w:fill="F7EEE0"/>
        </w:rPr>
        <w:lastRenderedPageBreak/>
        <w:t>本地较有名望的士族，在本地积聚起一定的影响力，战乱一起便能凭借其号召力统率本地居民形成相对独立的基层组织用以自保，并在自身受到威胁的情况下有能力率领其部下集体南迁。苏峻如此，其他北方地主士族亦可能如此，从侧面体现了地方势力对于流民集团南迁所起到的带动作用不可小觑。</w:t>
      </w:r>
    </w:p>
    <w:p w:rsidR="000D0154" w:rsidRDefault="003C0348">
      <w:pPr>
        <w:spacing w:line="300" w:lineRule="auto"/>
        <w:ind w:firstLine="360"/>
        <w:jc w:val="left"/>
        <w:rPr>
          <w:rFonts w:ascii="Arial" w:eastAsia="宋体" w:hAnsi="Arial" w:cs="Arial"/>
          <w:color w:val="333333"/>
          <w:sz w:val="24"/>
          <w:shd w:val="clear" w:color="auto" w:fill="FFFFFF"/>
        </w:rPr>
      </w:pPr>
      <w:r>
        <w:rPr>
          <w:rFonts w:ascii="Arial" w:eastAsia="宋体" w:hAnsi="Arial" w:cs="Arial" w:hint="eastAsia"/>
          <w:color w:val="333333"/>
          <w:sz w:val="24"/>
          <w:shd w:val="clear" w:color="auto" w:fill="FFFFFF"/>
        </w:rPr>
        <w:t xml:space="preserve"> </w:t>
      </w:r>
    </w:p>
    <w:p w:rsidR="000D0154" w:rsidRDefault="003C0348">
      <w:pPr>
        <w:spacing w:line="300" w:lineRule="auto"/>
        <w:ind w:firstLine="360"/>
        <w:jc w:val="left"/>
        <w:rPr>
          <w:rFonts w:ascii="Arial" w:eastAsia="宋体" w:hAnsi="Arial" w:cs="Arial"/>
          <w:b/>
          <w:bCs/>
          <w:color w:val="333333"/>
          <w:sz w:val="24"/>
          <w:shd w:val="clear" w:color="auto" w:fill="FFFFFF"/>
        </w:rPr>
      </w:pPr>
      <w:r>
        <w:rPr>
          <w:rFonts w:ascii="Arial" w:eastAsia="宋体" w:hAnsi="Arial" w:cs="Arial" w:hint="eastAsia"/>
          <w:color w:val="333333"/>
          <w:sz w:val="24"/>
          <w:shd w:val="clear" w:color="auto" w:fill="FFFFFF"/>
        </w:rPr>
        <w:t xml:space="preserve"> </w:t>
      </w:r>
      <w:r>
        <w:rPr>
          <w:rFonts w:ascii="Arial" w:eastAsia="宋体" w:hAnsi="Arial" w:cs="Arial" w:hint="eastAsia"/>
          <w:b/>
          <w:bCs/>
          <w:color w:val="333333"/>
          <w:sz w:val="24"/>
          <w:shd w:val="clear" w:color="auto" w:fill="FFFFFF"/>
        </w:rPr>
        <w:t>二</w:t>
      </w:r>
      <w:r>
        <w:rPr>
          <w:rFonts w:ascii="Arial" w:eastAsia="宋体" w:hAnsi="Arial" w:cs="Arial" w:hint="eastAsia"/>
          <w:b/>
          <w:bCs/>
          <w:color w:val="333333"/>
          <w:sz w:val="24"/>
          <w:shd w:val="clear" w:color="auto" w:fill="FFFFFF"/>
        </w:rPr>
        <w:t>.</w:t>
      </w:r>
      <w:r>
        <w:rPr>
          <w:rFonts w:ascii="Arial" w:eastAsia="宋体" w:hAnsi="Arial" w:cs="Arial" w:hint="eastAsia"/>
          <w:b/>
          <w:bCs/>
          <w:color w:val="333333"/>
          <w:sz w:val="24"/>
          <w:shd w:val="clear" w:color="auto" w:fill="FFFFFF"/>
        </w:rPr>
        <w:t>流民大量涌现与两晋之际政治格局的演变</w:t>
      </w:r>
    </w:p>
    <w:p w:rsidR="000D0154" w:rsidRDefault="003C0348">
      <w:pPr>
        <w:spacing w:line="300" w:lineRule="auto"/>
        <w:ind w:firstLine="360"/>
        <w:jc w:val="left"/>
        <w:rPr>
          <w:rFonts w:ascii="Arial" w:eastAsia="宋体" w:hAnsi="Arial" w:cs="Arial"/>
          <w:color w:val="333333"/>
          <w:sz w:val="24"/>
          <w:shd w:val="clear" w:color="auto" w:fill="FFFFFF"/>
        </w:rPr>
      </w:pPr>
      <w:r>
        <w:rPr>
          <w:rFonts w:ascii="Arial" w:eastAsia="宋体" w:hAnsi="Arial" w:cs="Arial" w:hint="eastAsia"/>
          <w:b/>
          <w:bCs/>
          <w:color w:val="333333"/>
          <w:sz w:val="24"/>
          <w:shd w:val="clear" w:color="auto" w:fill="FFFFFF"/>
        </w:rPr>
        <w:t xml:space="preserve"> </w:t>
      </w:r>
      <w:r>
        <w:rPr>
          <w:rFonts w:ascii="Arial" w:eastAsia="宋体" w:hAnsi="Arial" w:cs="Arial" w:hint="eastAsia"/>
          <w:color w:val="333333"/>
          <w:sz w:val="24"/>
          <w:shd w:val="clear" w:color="auto" w:fill="FFFFFF"/>
        </w:rPr>
        <w:t>西晋末年，腐朽的司马氏政权经过了永嘉之乱、八王之乱的冲击，经济凋零、民不聊生。在多种因素共同作用下，西晋王朝才历四帝便衰落下去，不久即宣告灭亡。战乱造成的农民与土地分离形成了大量流民，流民数量的迅速增加及流民问题愈演愈烈加剧了司马氏政权的衰败，是西晋灭亡的重要原因之一。</w:t>
      </w:r>
    </w:p>
    <w:p w:rsidR="000D0154" w:rsidRDefault="003C0348">
      <w:pPr>
        <w:spacing w:line="300" w:lineRule="auto"/>
        <w:ind w:firstLine="360"/>
        <w:jc w:val="left"/>
        <w:rPr>
          <w:rFonts w:ascii="Arial" w:eastAsia="宋体" w:hAnsi="Arial" w:cs="Arial"/>
          <w:color w:val="333333"/>
          <w:sz w:val="24"/>
          <w:shd w:val="clear" w:color="auto" w:fill="FFFFFF"/>
        </w:rPr>
      </w:pPr>
      <w:r>
        <w:rPr>
          <w:rFonts w:ascii="Arial" w:eastAsia="宋体" w:hAnsi="Arial" w:cs="Arial" w:hint="eastAsia"/>
          <w:color w:val="333333"/>
          <w:sz w:val="24"/>
          <w:shd w:val="clear" w:color="auto" w:fill="FFFFFF"/>
        </w:rPr>
        <w:t xml:space="preserve"> </w:t>
      </w:r>
      <w:r>
        <w:rPr>
          <w:rFonts w:ascii="Arial" w:eastAsia="宋体" w:hAnsi="Arial" w:cs="Arial" w:hint="eastAsia"/>
          <w:color w:val="333333"/>
          <w:sz w:val="24"/>
          <w:shd w:val="clear" w:color="auto" w:fill="FFFFFF"/>
        </w:rPr>
        <w:t>在中国传统社会，农耕经济在国家经济生活中大多数情况下占据着主导地位，历代君王大都奉行重农抑商政策，魏晋承袭汉朝，以农为本显得更为明显：一方面，农业税是国家财政收入最主要的来源，支撑着西晋皇室庞大且奢靡的巨额支出，给予国家机器运转的物质方面</w:t>
      </w:r>
      <w:r>
        <w:rPr>
          <w:rFonts w:ascii="Arial" w:eastAsia="宋体" w:hAnsi="Arial" w:cs="Arial" w:hint="eastAsia"/>
          <w:color w:val="333333"/>
          <w:sz w:val="24"/>
          <w:shd w:val="clear" w:color="auto" w:fill="FFFFFF"/>
        </w:rPr>
        <w:t>的保证；另一方面，农民还是国家徭役的承担者，承担着国家的工程建设及军事防卫任务。因此，国家劳力的多寡与国家整体实力有着密切联系。西晋末年形成大规模的流民潮，到处是“城邑皆空，野无烟火”</w:t>
      </w:r>
      <w:r>
        <w:rPr>
          <w:rStyle w:val="a4"/>
          <w:rFonts w:ascii="Arial" w:eastAsia="宋体" w:hAnsi="Arial" w:cs="Arial" w:hint="eastAsia"/>
          <w:color w:val="333333"/>
          <w:sz w:val="24"/>
          <w:shd w:val="clear" w:color="auto" w:fill="FFFFFF"/>
        </w:rPr>
        <w:footnoteReference w:id="8"/>
      </w:r>
      <w:r>
        <w:rPr>
          <w:rFonts w:ascii="Arial" w:eastAsia="宋体" w:hAnsi="Arial" w:cs="Arial" w:hint="eastAsia"/>
          <w:color w:val="333333"/>
          <w:sz w:val="24"/>
          <w:shd w:val="clear" w:color="auto" w:fill="FFFFFF"/>
        </w:rPr>
        <w:t>的破败景象，土地荒芜，国家的财政税收大幅削减，劳动力以及国防兵员日趋枯竭，对于司马氏政权产生了巨大的冲击力。仅对于西晋经济方面的冲击，就出现了“天下千城，人多游食，废业占空，无课田之实，较之九州，数过万计”</w:t>
      </w:r>
      <w:r>
        <w:rPr>
          <w:rStyle w:val="a4"/>
          <w:rFonts w:ascii="Arial" w:eastAsia="宋体" w:hAnsi="Arial" w:cs="Arial" w:hint="eastAsia"/>
          <w:color w:val="333333"/>
          <w:sz w:val="24"/>
          <w:shd w:val="clear" w:color="auto" w:fill="FFFFFF"/>
        </w:rPr>
        <w:footnoteReference w:id="9"/>
      </w:r>
      <w:r>
        <w:rPr>
          <w:rFonts w:ascii="Arial" w:eastAsia="宋体" w:hAnsi="Arial" w:cs="Arial" w:hint="eastAsia"/>
          <w:color w:val="333333"/>
          <w:sz w:val="24"/>
          <w:shd w:val="clear" w:color="auto" w:fill="FFFFFF"/>
        </w:rPr>
        <w:t>的残败局面。无可否认，流民潮集团产生及迁移对于西晋政权的瓦解，有着直接的推动作用。</w:t>
      </w:r>
    </w:p>
    <w:p w:rsidR="000D0154" w:rsidRDefault="003C0348">
      <w:pPr>
        <w:spacing w:line="300" w:lineRule="auto"/>
        <w:ind w:firstLine="360"/>
        <w:jc w:val="left"/>
        <w:rPr>
          <w:rFonts w:ascii="Arial" w:eastAsia="宋体" w:hAnsi="Arial" w:cs="Arial"/>
          <w:color w:val="333333"/>
          <w:sz w:val="24"/>
          <w:shd w:val="clear" w:color="auto" w:fill="FFFFFF"/>
        </w:rPr>
      </w:pPr>
      <w:r>
        <w:rPr>
          <w:rFonts w:ascii="Arial" w:eastAsia="宋体" w:hAnsi="Arial" w:cs="Arial" w:hint="eastAsia"/>
          <w:color w:val="333333"/>
          <w:sz w:val="24"/>
          <w:shd w:val="clear" w:color="auto" w:fill="FFFFFF"/>
        </w:rPr>
        <w:t xml:space="preserve"> </w:t>
      </w:r>
      <w:r>
        <w:rPr>
          <w:rFonts w:ascii="Arial" w:eastAsia="宋体" w:hAnsi="Arial" w:cs="Arial" w:hint="eastAsia"/>
          <w:color w:val="333333"/>
          <w:sz w:val="24"/>
          <w:shd w:val="clear" w:color="auto" w:fill="FFFFFF"/>
        </w:rPr>
        <w:t>大规模的流民潮出现后，西晋政权并</w:t>
      </w:r>
      <w:r>
        <w:rPr>
          <w:rFonts w:ascii="Arial" w:eastAsia="宋体" w:hAnsi="Arial" w:cs="Arial" w:hint="eastAsia"/>
          <w:color w:val="333333"/>
          <w:sz w:val="24"/>
          <w:shd w:val="clear" w:color="auto" w:fill="FFFFFF"/>
        </w:rPr>
        <w:t>没有出台合理的措施安抚流民，而是采取了一系列高压政策对流民进行限制与打击，下令让各地州郡长官强迫流民返回原籍。政府与流民之间形成了激烈的的冲突，不可避免的引起了流民的反抗，如遇战乱带领同乡之人迁移到宛地的王如，朝廷下诏强令其返回乡里，“</w:t>
      </w:r>
      <w:r>
        <w:rPr>
          <w:rFonts w:ascii="宋体" w:eastAsia="宋体" w:hAnsi="宋体" w:cs="宋体" w:hint="eastAsia"/>
          <w:color w:val="333333"/>
          <w:sz w:val="24"/>
          <w:shd w:val="clear" w:color="auto" w:fill="F7EEE0"/>
        </w:rPr>
        <w:t>如以关中荒残，不愿归</w:t>
      </w:r>
      <w:r>
        <w:rPr>
          <w:rFonts w:ascii="宋体" w:eastAsia="宋体" w:hAnsi="宋体" w:cs="宋体" w:hint="eastAsia"/>
          <w:color w:val="333333"/>
          <w:sz w:val="24"/>
          <w:shd w:val="clear" w:color="auto" w:fill="F7EEE0"/>
        </w:rPr>
        <w:t>;</w:t>
      </w:r>
      <w:r>
        <w:rPr>
          <w:rFonts w:ascii="宋体" w:eastAsia="宋体" w:hAnsi="宋体" w:cs="宋体" w:hint="eastAsia"/>
          <w:color w:val="333333"/>
          <w:sz w:val="24"/>
          <w:shd w:val="clear" w:color="auto" w:fill="F7EEE0"/>
        </w:rPr>
        <w:t>征南将军山简、南中郎将杜蕤各遣兵送之，而促期令发</w:t>
      </w:r>
      <w:r>
        <w:rPr>
          <w:rFonts w:ascii="宋体" w:eastAsia="宋体" w:hAnsi="宋体" w:cs="宋体" w:hint="eastAsia"/>
          <w:color w:val="333333"/>
          <w:sz w:val="24"/>
          <w:shd w:val="clear" w:color="auto" w:fill="F7EEE0"/>
        </w:rPr>
        <w:t>;</w:t>
      </w:r>
      <w:r>
        <w:rPr>
          <w:rFonts w:ascii="宋体" w:eastAsia="宋体" w:hAnsi="宋体" w:cs="宋体" w:hint="eastAsia"/>
          <w:color w:val="333333"/>
          <w:sz w:val="24"/>
          <w:shd w:val="clear" w:color="auto" w:fill="F7EEE0"/>
        </w:rPr>
        <w:t>如遂潜结诸无赖少年，夜袭二军，破之</w:t>
      </w:r>
      <w:r>
        <w:rPr>
          <w:rFonts w:ascii="Arial" w:eastAsia="宋体" w:hAnsi="Arial" w:cs="Arial" w:hint="eastAsia"/>
          <w:color w:val="333333"/>
          <w:sz w:val="24"/>
          <w:shd w:val="clear" w:color="auto" w:fill="FFFFFF"/>
        </w:rPr>
        <w:t>”</w:t>
      </w:r>
      <w:r>
        <w:rPr>
          <w:rFonts w:ascii="Arial" w:eastAsia="宋体" w:hAnsi="Arial" w:cs="Arial" w:hint="eastAsia"/>
          <w:color w:val="333333"/>
          <w:sz w:val="24"/>
          <w:shd w:val="clear" w:color="auto" w:fill="FFFFFF"/>
        </w:rPr>
        <w:t>,</w:t>
      </w:r>
      <w:r>
        <w:rPr>
          <w:rFonts w:ascii="Arial" w:eastAsia="宋体" w:hAnsi="Arial" w:cs="Arial" w:hint="eastAsia"/>
          <w:color w:val="333333"/>
          <w:sz w:val="24"/>
          <w:shd w:val="clear" w:color="auto" w:fill="FFFFFF"/>
        </w:rPr>
        <w:t>“</w:t>
      </w:r>
      <w:r>
        <w:rPr>
          <w:rFonts w:ascii="宋体" w:eastAsia="宋体" w:hAnsi="宋体" w:cs="宋体" w:hint="eastAsia"/>
          <w:color w:val="333333"/>
          <w:sz w:val="24"/>
          <w:shd w:val="clear" w:color="auto" w:fill="F7EEE0"/>
        </w:rPr>
        <w:t>未几，众至四五万，自号大将军，领司、雍二州牧</w:t>
      </w:r>
      <w:r>
        <w:rPr>
          <w:rFonts w:ascii="Arial" w:eastAsia="宋体" w:hAnsi="Arial" w:cs="Arial" w:hint="eastAsia"/>
          <w:color w:val="333333"/>
          <w:sz w:val="24"/>
          <w:shd w:val="clear" w:color="auto" w:fill="FFFFFF"/>
        </w:rPr>
        <w:t>”</w:t>
      </w:r>
      <w:r>
        <w:rPr>
          <w:rStyle w:val="a4"/>
          <w:rFonts w:ascii="Arial" w:eastAsia="宋体" w:hAnsi="Arial" w:cs="Arial" w:hint="eastAsia"/>
          <w:color w:val="333333"/>
          <w:sz w:val="24"/>
          <w:shd w:val="clear" w:color="auto" w:fill="FFFFFF"/>
        </w:rPr>
        <w:footnoteReference w:id="10"/>
      </w:r>
      <w:r>
        <w:rPr>
          <w:rFonts w:ascii="Arial" w:eastAsia="宋体" w:hAnsi="Arial" w:cs="Arial" w:hint="eastAsia"/>
          <w:color w:val="333333"/>
          <w:sz w:val="24"/>
          <w:shd w:val="clear" w:color="auto" w:fill="FFFFFF"/>
        </w:rPr>
        <w:t>，王如最终虽归附王墩而被诛杀，却极大地动摇了西晋的统治根基，是使其走向灭亡的重要推手。</w:t>
      </w:r>
    </w:p>
    <w:p w:rsidR="000D0154" w:rsidRDefault="003C0348">
      <w:pPr>
        <w:spacing w:line="300" w:lineRule="auto"/>
        <w:ind w:firstLineChars="177" w:firstLine="425"/>
        <w:jc w:val="left"/>
        <w:rPr>
          <w:rFonts w:ascii="Arial" w:eastAsia="宋体" w:hAnsi="Arial" w:cs="Arial"/>
          <w:color w:val="333333"/>
          <w:sz w:val="24"/>
          <w:shd w:val="clear" w:color="auto" w:fill="FFFFFF"/>
        </w:rPr>
      </w:pPr>
      <w:r>
        <w:rPr>
          <w:rFonts w:ascii="Arial" w:eastAsia="宋体" w:hAnsi="Arial" w:cs="Arial" w:hint="eastAsia"/>
          <w:color w:val="333333"/>
          <w:sz w:val="24"/>
          <w:shd w:val="clear" w:color="auto" w:fill="FFFFFF"/>
        </w:rPr>
        <w:t xml:space="preserve"> </w:t>
      </w:r>
      <w:r>
        <w:rPr>
          <w:rFonts w:ascii="Arial" w:eastAsia="宋体" w:hAnsi="Arial" w:cs="Arial" w:hint="eastAsia"/>
          <w:color w:val="333333"/>
          <w:sz w:val="24"/>
          <w:shd w:val="clear" w:color="auto" w:fill="FFFFFF"/>
        </w:rPr>
        <w:t>此外，流民也与迁入地的土著居民有着激烈的冲突。一方面，由于迁入流民缺乏土地或其他收入来源，“</w:t>
      </w:r>
      <w:r>
        <w:rPr>
          <w:rFonts w:hint="eastAsia"/>
          <w:color w:val="333333"/>
          <w:sz w:val="24"/>
          <w:shd w:val="clear" w:color="auto" w:fill="F7EEE0"/>
        </w:rPr>
        <w:t>流人在荆州十余万户，羁旅贫乏，多为盗贼</w:t>
      </w:r>
      <w:r>
        <w:rPr>
          <w:rFonts w:ascii="Arial" w:eastAsia="宋体" w:hAnsi="Arial" w:cs="Arial" w:hint="eastAsia"/>
          <w:color w:val="333333"/>
          <w:sz w:val="24"/>
          <w:shd w:val="clear" w:color="auto" w:fill="FFFFFF"/>
        </w:rPr>
        <w:t>”</w:t>
      </w:r>
      <w:r>
        <w:rPr>
          <w:rStyle w:val="a4"/>
          <w:rFonts w:ascii="Arial" w:eastAsia="宋体" w:hAnsi="Arial" w:cs="Arial"/>
          <w:color w:val="333333"/>
          <w:sz w:val="24"/>
          <w:shd w:val="clear" w:color="auto" w:fill="FFFFFF"/>
        </w:rPr>
        <w:footnoteReference w:id="11"/>
      </w:r>
      <w:r>
        <w:rPr>
          <w:rFonts w:ascii="Arial" w:eastAsia="宋体" w:hAnsi="Arial" w:cs="Arial" w:hint="eastAsia"/>
          <w:color w:val="333333"/>
          <w:sz w:val="24"/>
          <w:shd w:val="clear" w:color="auto" w:fill="FFFFFF"/>
        </w:rPr>
        <w:t>，破坏了社会秩序，给当地治安带来一定负面影响。然而，更深层次的，则体现在</w:t>
      </w:r>
      <w:r>
        <w:rPr>
          <w:rFonts w:ascii="Arial" w:eastAsia="宋体" w:hAnsi="Arial" w:cs="Arial" w:hint="eastAsia"/>
          <w:color w:val="333333"/>
          <w:sz w:val="24"/>
          <w:shd w:val="clear" w:color="auto" w:fill="FFFFFF"/>
        </w:rPr>
        <w:lastRenderedPageBreak/>
        <w:t>流民与当地居民的一种文化差异，具体则包括民情</w:t>
      </w:r>
      <w:r>
        <w:rPr>
          <w:rFonts w:ascii="宋体" w:eastAsia="宋体" w:hAnsi="宋体" w:cs="Arial" w:hint="eastAsia"/>
          <w:color w:val="333333"/>
          <w:sz w:val="24"/>
          <w:shd w:val="clear" w:color="auto" w:fill="FFFFFF"/>
        </w:rPr>
        <w:t>、</w:t>
      </w:r>
      <w:r>
        <w:rPr>
          <w:rFonts w:ascii="Arial" w:eastAsia="宋体" w:hAnsi="Arial" w:cs="Arial" w:hint="eastAsia"/>
          <w:color w:val="333333"/>
          <w:sz w:val="24"/>
          <w:shd w:val="clear" w:color="auto" w:fill="FFFFFF"/>
        </w:rPr>
        <w:t>语言</w:t>
      </w:r>
      <w:r>
        <w:rPr>
          <w:rFonts w:ascii="宋体" w:eastAsia="宋体" w:hAnsi="宋体" w:cs="Arial" w:hint="eastAsia"/>
          <w:color w:val="333333"/>
          <w:sz w:val="24"/>
          <w:shd w:val="clear" w:color="auto" w:fill="FFFFFF"/>
        </w:rPr>
        <w:t>、</w:t>
      </w:r>
      <w:r>
        <w:rPr>
          <w:rFonts w:ascii="Arial" w:eastAsia="宋体" w:hAnsi="Arial" w:cs="Arial" w:hint="eastAsia"/>
          <w:color w:val="333333"/>
          <w:sz w:val="24"/>
          <w:shd w:val="clear" w:color="auto" w:fill="FFFFFF"/>
        </w:rPr>
        <w:t>风俗</w:t>
      </w:r>
      <w:r>
        <w:rPr>
          <w:rFonts w:ascii="宋体" w:eastAsia="宋体" w:hAnsi="宋体" w:cs="Arial" w:hint="eastAsia"/>
          <w:color w:val="333333"/>
          <w:sz w:val="24"/>
          <w:shd w:val="clear" w:color="auto" w:fill="FFFFFF"/>
        </w:rPr>
        <w:t>、</w:t>
      </w:r>
      <w:r>
        <w:rPr>
          <w:rFonts w:ascii="Arial" w:eastAsia="宋体" w:hAnsi="Arial" w:cs="Arial" w:hint="eastAsia"/>
          <w:color w:val="333333"/>
          <w:sz w:val="24"/>
          <w:shd w:val="clear" w:color="auto" w:fill="FFFFFF"/>
        </w:rPr>
        <w:t>宗教信仰等。本地居民对于进入当地的外来势力表现出一种不信任与防备，怕有损于其既得利益，因而大力抵制。“</w:t>
      </w:r>
      <w:r>
        <w:rPr>
          <w:rFonts w:hint="eastAsia"/>
          <w:color w:val="333333"/>
          <w:sz w:val="24"/>
          <w:shd w:val="clear" w:color="auto" w:fill="F7EEE0"/>
        </w:rPr>
        <w:t>九州之人，塞表殊类，襁负万里，若赤子之归慈父，流人之多旧土十倍有余，人殷地狭，故无田者十有四焉</w:t>
      </w:r>
      <w:r>
        <w:rPr>
          <w:rFonts w:ascii="Arial" w:eastAsia="宋体" w:hAnsi="Arial" w:cs="Arial" w:hint="eastAsia"/>
          <w:color w:val="333333"/>
          <w:sz w:val="24"/>
          <w:shd w:val="clear" w:color="auto" w:fill="FFFFFF"/>
        </w:rPr>
        <w:t>”</w:t>
      </w:r>
      <w:r>
        <w:rPr>
          <w:rStyle w:val="a4"/>
          <w:rFonts w:ascii="Arial" w:eastAsia="宋体" w:hAnsi="Arial" w:cs="Arial"/>
          <w:color w:val="333333"/>
          <w:sz w:val="24"/>
          <w:shd w:val="clear" w:color="auto" w:fill="FFFFFF"/>
        </w:rPr>
        <w:footnoteReference w:id="12"/>
      </w:r>
      <w:r>
        <w:rPr>
          <w:rFonts w:ascii="Arial" w:eastAsia="宋体" w:hAnsi="Arial" w:cs="Arial" w:hint="eastAsia"/>
          <w:color w:val="333333"/>
          <w:sz w:val="24"/>
          <w:shd w:val="clear" w:color="auto" w:fill="FFFFFF"/>
        </w:rPr>
        <w:t>，流民的到来，分占了当地的为数不多的资源如土地</w:t>
      </w:r>
      <w:r>
        <w:rPr>
          <w:rFonts w:ascii="宋体" w:eastAsia="宋体" w:hAnsi="宋体" w:cs="Arial" w:hint="eastAsia"/>
          <w:color w:val="333333"/>
          <w:sz w:val="24"/>
          <w:shd w:val="clear" w:color="auto" w:fill="FFFFFF"/>
        </w:rPr>
        <w:t>、</w:t>
      </w:r>
      <w:r>
        <w:rPr>
          <w:rFonts w:ascii="Arial" w:eastAsia="宋体" w:hAnsi="Arial" w:cs="Arial" w:hint="eastAsia"/>
          <w:color w:val="333333"/>
          <w:sz w:val="24"/>
          <w:shd w:val="clear" w:color="auto" w:fill="FFFFFF"/>
        </w:rPr>
        <w:t>水源等，因而与当地居民长生了激烈的利益冲突，造成了社会不稳，引发了许多社会问题。</w:t>
      </w:r>
      <w:r>
        <w:rPr>
          <w:rFonts w:ascii="Arial" w:eastAsia="宋体" w:hAnsi="Arial" w:cs="Arial" w:hint="eastAsia"/>
          <w:color w:val="333333"/>
          <w:sz w:val="24"/>
          <w:shd w:val="clear" w:color="auto" w:fill="FFFFFF"/>
        </w:rPr>
        <w:t xml:space="preserve"> </w:t>
      </w:r>
    </w:p>
    <w:p w:rsidR="000D0154" w:rsidRDefault="003C0348">
      <w:pPr>
        <w:spacing w:line="300" w:lineRule="auto"/>
        <w:ind w:firstLineChars="150" w:firstLine="360"/>
        <w:jc w:val="left"/>
        <w:rPr>
          <w:rFonts w:ascii="Arial" w:eastAsia="宋体" w:hAnsi="Arial" w:cs="Arial"/>
          <w:color w:val="333333"/>
          <w:sz w:val="24"/>
          <w:shd w:val="clear" w:color="auto" w:fill="FFFFFF"/>
        </w:rPr>
      </w:pPr>
      <w:r>
        <w:rPr>
          <w:rFonts w:ascii="Arial" w:eastAsia="宋体" w:hAnsi="Arial" w:cs="Arial" w:hint="eastAsia"/>
          <w:color w:val="333333"/>
          <w:sz w:val="24"/>
          <w:shd w:val="clear" w:color="auto" w:fill="FFFFFF"/>
        </w:rPr>
        <w:t xml:space="preserve"> </w:t>
      </w:r>
      <w:r>
        <w:rPr>
          <w:rFonts w:ascii="Arial" w:eastAsia="宋体" w:hAnsi="Arial" w:cs="Arial" w:hint="eastAsia"/>
          <w:color w:val="333333"/>
          <w:sz w:val="24"/>
          <w:shd w:val="clear" w:color="auto" w:fill="FFFFFF"/>
        </w:rPr>
        <w:t>事实上，无论是对西晋政权还是对迁入地土著居民，流民都是处于相对不利的地位。由于缺少政治代言及经济实力，流民阶层在层层重压下显得孤立无援。为了争存更好的生存环境，保证自身利益的实现，当流民与两者的矛盾积累到一定程度之时，必然会引起大规模的反抗，诱发了一系列的流民起义。可以看到，流民起义给西晋政权带来了许多负面影响，但由于政府对于流民问题采取了一系列粗暴蛮横的措施，非但无益于流民问题的解决，反而加剧了这一社会问题且愈演愈烈。流</w:t>
      </w:r>
      <w:r>
        <w:rPr>
          <w:rFonts w:ascii="Arial" w:eastAsia="宋体" w:hAnsi="Arial" w:cs="Arial" w:hint="eastAsia"/>
          <w:color w:val="333333"/>
          <w:sz w:val="24"/>
          <w:shd w:val="clear" w:color="auto" w:fill="FFFFFF"/>
        </w:rPr>
        <w:t>民集团的大规模起义加剧了地方分裂，很大程度上牵扯了中央政府的财力</w:t>
      </w:r>
      <w:r>
        <w:rPr>
          <w:rFonts w:ascii="宋体" w:eastAsia="宋体" w:hAnsi="宋体" w:cs="Arial" w:hint="eastAsia"/>
          <w:color w:val="333333"/>
          <w:sz w:val="24"/>
          <w:shd w:val="clear" w:color="auto" w:fill="FFFFFF"/>
        </w:rPr>
        <w:t>、</w:t>
      </w:r>
      <w:r>
        <w:rPr>
          <w:rFonts w:ascii="Arial" w:eastAsia="宋体" w:hAnsi="Arial" w:cs="Arial" w:hint="eastAsia"/>
          <w:color w:val="333333"/>
          <w:sz w:val="24"/>
          <w:shd w:val="clear" w:color="auto" w:fill="FFFFFF"/>
        </w:rPr>
        <w:t>兵力，削弱了西晋王朝的整体实力，使之在一系列对外战争中处于不利地位。我无法说流民因素决定了西晋的灭亡，但无法否认的是，流民问题的加剧确实是西晋灭亡的一大推手，加速了西晋王朝的衰败。</w:t>
      </w:r>
    </w:p>
    <w:p w:rsidR="000D0154" w:rsidRDefault="003C0348">
      <w:pPr>
        <w:spacing w:line="300" w:lineRule="auto"/>
        <w:ind w:firstLineChars="150" w:firstLine="360"/>
        <w:jc w:val="left"/>
        <w:rPr>
          <w:rFonts w:ascii="Arial" w:eastAsia="宋体" w:hAnsi="Arial" w:cs="Arial"/>
          <w:color w:val="333333"/>
          <w:sz w:val="24"/>
          <w:shd w:val="clear" w:color="auto" w:fill="FFFFFF"/>
        </w:rPr>
      </w:pPr>
      <w:r>
        <w:rPr>
          <w:rFonts w:ascii="Arial" w:eastAsia="宋体" w:hAnsi="Arial" w:cs="Arial" w:hint="eastAsia"/>
          <w:color w:val="333333"/>
          <w:sz w:val="24"/>
          <w:shd w:val="clear" w:color="auto" w:fill="FFFFFF"/>
        </w:rPr>
        <w:t xml:space="preserve"> </w:t>
      </w:r>
      <w:r>
        <w:rPr>
          <w:rFonts w:ascii="Arial" w:eastAsia="宋体" w:hAnsi="Arial" w:cs="Arial" w:hint="eastAsia"/>
          <w:color w:val="333333"/>
          <w:sz w:val="24"/>
          <w:shd w:val="clear" w:color="auto" w:fill="FFFFFF"/>
        </w:rPr>
        <w:t>与此同时，许多流民结成流民集团向四处迁移以避战乱，其中尤以南渡者为多。</w:t>
      </w:r>
      <w:r>
        <w:rPr>
          <w:rFonts w:ascii="宋体" w:eastAsia="宋体" w:hAnsi="宋体" w:cs="宋体" w:hint="eastAsia"/>
          <w:sz w:val="24"/>
        </w:rPr>
        <w:t>据不完全统计，南下的流民约占当时北方总人口的八分之一，同时又占南方人口的六分之一</w:t>
      </w:r>
      <w:r>
        <w:rPr>
          <w:rStyle w:val="a4"/>
          <w:rFonts w:ascii="宋体" w:eastAsia="宋体" w:hAnsi="宋体" w:cs="宋体" w:hint="eastAsia"/>
          <w:sz w:val="24"/>
        </w:rPr>
        <w:footnoteReference w:id="13"/>
      </w:r>
      <w:r>
        <w:rPr>
          <w:rFonts w:ascii="宋体" w:eastAsia="宋体" w:hAnsi="宋体" w:cs="宋体" w:hint="eastAsia"/>
          <w:sz w:val="24"/>
        </w:rPr>
        <w:t>，尤可见南渡流民人数之多，规模之大。流民集团的南迁一般具有核心人物或核心家族，依据他们的身份、财产以及地位上的</w:t>
      </w:r>
      <w:r>
        <w:rPr>
          <w:rFonts w:ascii="宋体" w:eastAsia="宋体" w:hAnsi="宋体" w:cs="宋体" w:hint="eastAsia"/>
          <w:sz w:val="24"/>
        </w:rPr>
        <w:t>差异可分为两个不同的等级。一为掌握中央权力的高门士族，其组成人员多为西晋皇族及朝中高位公卿，他们握有大量土地，即为前文所说贫民组织的核心。他们在变乱中为求自保，带领其辖有的部曲、宗客纷纷南下，形成一个个人数众多的贫民组织（事实上所说的贫民组织并不包括这些贵胄</w:t>
      </w:r>
      <w:r>
        <w:rPr>
          <w:rFonts w:ascii="宋体" w:eastAsia="宋体" w:hAnsi="宋体" w:cs="宋体" w:hint="eastAsia"/>
          <w:sz w:val="24"/>
        </w:rPr>
        <w:t>,</w:t>
      </w:r>
      <w:r>
        <w:rPr>
          <w:rFonts w:ascii="宋体" w:eastAsia="宋体" w:hAnsi="宋体" w:cs="宋体" w:hint="eastAsia"/>
          <w:sz w:val="24"/>
        </w:rPr>
        <w:t>只是描述主要组成力量</w:t>
      </w:r>
      <w:r>
        <w:rPr>
          <w:rFonts w:ascii="宋体" w:eastAsia="宋体" w:hAnsi="宋体" w:cs="宋体" w:hint="eastAsia"/>
          <w:sz w:val="24"/>
        </w:rPr>
        <w:t>）积聚在门阀士族旁，成为侨姓士族在南方开展生产及对抗中央的依靠力量。</w:t>
      </w:r>
      <w:r>
        <w:rPr>
          <w:rFonts w:ascii="宋体" w:eastAsia="宋体" w:hAnsi="宋体" w:cs="宋体" w:hint="eastAsia"/>
          <w:sz w:val="24"/>
        </w:rPr>
        <w:t>二为地方次等士族、地主及一些地方官员，他们即上文所提自耕农组织的主要核心，他们本身并无太多特权，依靠的仅为土地、财产及一定的威望，因而自耕农与之人身依附关系并不很强</w:t>
      </w:r>
      <w:r>
        <w:rPr>
          <w:rFonts w:ascii="宋体" w:eastAsia="宋体" w:hAnsi="宋体" w:cs="宋体" w:hint="eastAsia"/>
          <w:sz w:val="24"/>
        </w:rPr>
        <w:t>。</w:t>
      </w:r>
    </w:p>
    <w:p w:rsidR="000D0154" w:rsidRDefault="003C0348">
      <w:pPr>
        <w:spacing w:line="300" w:lineRule="auto"/>
        <w:ind w:firstLine="560"/>
        <w:jc w:val="left"/>
        <w:rPr>
          <w:sz w:val="24"/>
        </w:rPr>
      </w:pPr>
      <w:r>
        <w:rPr>
          <w:rFonts w:hint="eastAsia"/>
          <w:sz w:val="24"/>
        </w:rPr>
        <w:t>永嘉元年七月，身在洛阳的东海王司马越及其同党王衍为了给自己谋求一条退路，派宗室旁支琅琊王司马睿以安东将军、都督扬州东南诸军事、假节的身份出守建邺。湘州爆发流民起义后，司马睿被任命为镇东大将军，兼督扬、江、湘、广、交五州诸军事，成为南方官方的管理者。但在司马睿初到南方时，遭到了本地吴姓士族的歧视与排挤，由于王导及侨姓士族的斡旋及北方流民不断南下，聚集在新兴政权周围，“重振”司马氏的威严，司马睿才逐渐得到吴姓士族</w:t>
      </w:r>
      <w:r>
        <w:rPr>
          <w:rFonts w:hint="eastAsia"/>
          <w:sz w:val="24"/>
        </w:rPr>
        <w:lastRenderedPageBreak/>
        <w:t>的支持。正是流民集团的支持，司马睿和侨姓士族组成的统治集团才得以安定南方，最终重建司马氏的统治。对于</w:t>
      </w:r>
      <w:r>
        <w:rPr>
          <w:rFonts w:hint="eastAsia"/>
          <w:sz w:val="24"/>
        </w:rPr>
        <w:t>这一点，已有大量前辈进行过研究，在此不再多说。</w:t>
      </w:r>
    </w:p>
    <w:p w:rsidR="000D0154" w:rsidRDefault="003C0348">
      <w:pPr>
        <w:spacing w:line="300" w:lineRule="auto"/>
        <w:ind w:firstLine="560"/>
        <w:jc w:val="left"/>
        <w:rPr>
          <w:rFonts w:ascii="宋体" w:eastAsia="宋体" w:hAnsi="宋体" w:cs="宋体"/>
          <w:color w:val="333333"/>
          <w:sz w:val="24"/>
          <w:shd w:val="clear" w:color="auto" w:fill="F7EEE0"/>
        </w:rPr>
      </w:pPr>
      <w:r>
        <w:rPr>
          <w:rFonts w:hint="eastAsia"/>
          <w:sz w:val="24"/>
        </w:rPr>
        <w:t>此外，身为流民将领的郗鉴在东晋初期的政治格局中也起到了非常重要的作用。他相传为</w:t>
      </w:r>
      <w:r>
        <w:rPr>
          <w:rFonts w:ascii="宋体" w:eastAsia="宋体" w:hAnsi="宋体" w:cs="宋体" w:hint="eastAsia"/>
          <w:color w:val="333333"/>
          <w:sz w:val="24"/>
          <w:shd w:val="clear" w:color="auto" w:fill="F7EEE0"/>
        </w:rPr>
        <w:t>汉御史大夫虑</w:t>
      </w:r>
      <w:r>
        <w:rPr>
          <w:rFonts w:ascii="宋体" w:eastAsia="宋体" w:hAnsi="宋体" w:cs="宋体" w:hint="eastAsia"/>
          <w:color w:val="333333"/>
          <w:sz w:val="24"/>
          <w:shd w:val="clear" w:color="auto" w:fill="F7EEE0"/>
        </w:rPr>
        <w:t>的</w:t>
      </w:r>
      <w:r>
        <w:rPr>
          <w:rFonts w:ascii="宋体" w:eastAsia="宋体" w:hAnsi="宋体" w:cs="宋体" w:hint="eastAsia"/>
          <w:color w:val="333333"/>
          <w:sz w:val="24"/>
          <w:shd w:val="clear" w:color="auto" w:fill="F7EEE0"/>
        </w:rPr>
        <w:t>玄孙</w:t>
      </w:r>
      <w:r>
        <w:rPr>
          <w:rFonts w:ascii="宋体" w:eastAsia="宋体" w:hAnsi="宋体" w:cs="宋体" w:hint="eastAsia"/>
          <w:color w:val="333333"/>
          <w:sz w:val="24"/>
          <w:shd w:val="clear" w:color="auto" w:fill="F7EEE0"/>
        </w:rPr>
        <w:t>，然而</w:t>
      </w:r>
      <w:r>
        <w:rPr>
          <w:rFonts w:hint="eastAsia"/>
          <w:sz w:val="24"/>
        </w:rPr>
        <w:t>“</w:t>
      </w:r>
      <w:r>
        <w:rPr>
          <w:rFonts w:ascii="宋体" w:eastAsia="宋体" w:hAnsi="宋体" w:cs="宋体" w:hint="eastAsia"/>
          <w:color w:val="333333"/>
          <w:sz w:val="24"/>
          <w:shd w:val="clear" w:color="auto" w:fill="F7EEE0"/>
        </w:rPr>
        <w:t>少孤贫，博览经籍，躬耕陇亩</w:t>
      </w:r>
      <w:r>
        <w:rPr>
          <w:rFonts w:hint="eastAsia"/>
          <w:sz w:val="24"/>
        </w:rPr>
        <w:t>”，说明他家势已非显贵，只可勉强算为次等士族。西晋末年，天下大乱，其所在州县之人“</w:t>
      </w:r>
      <w:r>
        <w:rPr>
          <w:rFonts w:ascii="宋体" w:eastAsia="宋体" w:hAnsi="宋体" w:cs="宋体" w:hint="eastAsia"/>
          <w:color w:val="333333"/>
          <w:sz w:val="24"/>
          <w:shd w:val="clear" w:color="auto" w:fill="F7EEE0"/>
        </w:rPr>
        <w:t>共推鉴为主，举千余家俱避难于鲁之峄山</w:t>
      </w:r>
      <w:r>
        <w:rPr>
          <w:rFonts w:hint="eastAsia"/>
          <w:sz w:val="24"/>
        </w:rPr>
        <w:t>”</w:t>
      </w:r>
      <w:r>
        <w:rPr>
          <w:rStyle w:val="a4"/>
          <w:rFonts w:hint="eastAsia"/>
          <w:sz w:val="24"/>
        </w:rPr>
        <w:footnoteReference w:id="14"/>
      </w:r>
      <w:r>
        <w:rPr>
          <w:rFonts w:hint="eastAsia"/>
          <w:sz w:val="24"/>
        </w:rPr>
        <w:t>，成为事实上的流民核心。永昌初年，在其携带乡党南下后，作为一名流民将领发挥了很大的历史作用。在王敦、苏峻之乱中，</w:t>
      </w:r>
      <w:r>
        <w:rPr>
          <w:rFonts w:ascii="宋体" w:eastAsia="宋体" w:hAnsi="宋体" w:cs="宋体" w:hint="eastAsia"/>
          <w:color w:val="333333"/>
          <w:sz w:val="24"/>
          <w:shd w:val="clear" w:color="auto" w:fill="F7EEE0"/>
        </w:rPr>
        <w:t>郗鉴</w:t>
      </w:r>
      <w:r>
        <w:rPr>
          <w:rFonts w:ascii="宋体" w:eastAsia="宋体" w:hAnsi="宋体" w:cs="宋体" w:hint="eastAsia"/>
          <w:color w:val="333333"/>
          <w:sz w:val="24"/>
          <w:shd w:val="clear" w:color="auto" w:fill="F7EEE0"/>
        </w:rPr>
        <w:t>得到了朝廷倚重，由广陵移镇京口，在此日益壮大。此时，</w:t>
      </w:r>
      <w:r>
        <w:rPr>
          <w:rFonts w:ascii="Arial" w:eastAsia="宋体" w:hAnsi="Arial" w:cs="Arial" w:hint="eastAsia"/>
          <w:color w:val="333333"/>
          <w:sz w:val="24"/>
          <w:shd w:val="clear" w:color="auto" w:fill="FFFFFF"/>
        </w:rPr>
        <w:t>庾亮</w:t>
      </w:r>
      <w:r>
        <w:rPr>
          <w:rFonts w:ascii="Arial" w:eastAsia="宋体" w:hAnsi="Arial" w:cs="Arial" w:hint="eastAsia"/>
          <w:color w:val="333333"/>
          <w:sz w:val="24"/>
          <w:shd w:val="clear" w:color="auto" w:fill="FFFFFF"/>
        </w:rPr>
        <w:t>出走建康，镇芜湖，与身在朝中的王导水火不</w:t>
      </w:r>
      <w:r>
        <w:rPr>
          <w:rFonts w:ascii="Arial" w:eastAsia="宋体" w:hAnsi="Arial" w:cs="Arial" w:hint="eastAsia"/>
          <w:color w:val="333333"/>
          <w:sz w:val="24"/>
          <w:shd w:val="clear" w:color="auto" w:fill="FFFFFF"/>
        </w:rPr>
        <w:t>相容，想起兵诛杀王导，在</w:t>
      </w:r>
      <w:r>
        <w:rPr>
          <w:rFonts w:ascii="宋体" w:eastAsia="宋体" w:hAnsi="宋体" w:cs="宋体" w:hint="eastAsia"/>
          <w:color w:val="333333"/>
          <w:sz w:val="24"/>
          <w:shd w:val="clear" w:color="auto" w:fill="F7EEE0"/>
        </w:rPr>
        <w:t>郗鉴</w:t>
      </w:r>
      <w:r>
        <w:rPr>
          <w:rFonts w:ascii="宋体" w:eastAsia="宋体" w:hAnsi="宋体" w:cs="宋体" w:hint="eastAsia"/>
          <w:color w:val="333333"/>
          <w:sz w:val="24"/>
          <w:shd w:val="clear" w:color="auto" w:fill="F7EEE0"/>
        </w:rPr>
        <w:t>坚决反对下得以停止。东晋一朝，士族当道，皇族没落，往往几个强大士族共同执政，维持着各个士族的利益平衡。但在士族之间存在共同利益时，各自还存着许多的私人利益，当某一个士族力量过于强大之时，便会危害到整个士族统治集团的利益，</w:t>
      </w:r>
      <w:r>
        <w:rPr>
          <w:rFonts w:ascii="宋体" w:eastAsia="宋体" w:hAnsi="宋体" w:cs="宋体" w:hint="eastAsia"/>
          <w:color w:val="333333"/>
          <w:sz w:val="24"/>
          <w:shd w:val="clear" w:color="auto" w:fill="F7EEE0"/>
        </w:rPr>
        <w:t>郗鉴</w:t>
      </w:r>
      <w:r>
        <w:rPr>
          <w:rFonts w:ascii="宋体" w:eastAsia="宋体" w:hAnsi="宋体" w:cs="宋体" w:hint="eastAsia"/>
          <w:color w:val="333333"/>
          <w:sz w:val="24"/>
          <w:shd w:val="clear" w:color="auto" w:fill="F7EEE0"/>
        </w:rPr>
        <w:t>当然深谙此道，所以他助东晋平王敦、苏峻，联合王导对抗陶侃、</w:t>
      </w:r>
      <w:r>
        <w:rPr>
          <w:rFonts w:ascii="Arial" w:eastAsia="宋体" w:hAnsi="Arial" w:cs="Arial" w:hint="eastAsia"/>
          <w:color w:val="333333"/>
          <w:sz w:val="24"/>
          <w:shd w:val="clear" w:color="auto" w:fill="FFFFFF"/>
        </w:rPr>
        <w:t>庾亮</w:t>
      </w:r>
      <w:r>
        <w:rPr>
          <w:rFonts w:ascii="Arial" w:eastAsia="宋体" w:hAnsi="Arial" w:cs="Arial" w:hint="eastAsia"/>
          <w:color w:val="333333"/>
          <w:sz w:val="24"/>
          <w:shd w:val="clear" w:color="auto" w:fill="FFFFFF"/>
        </w:rPr>
        <w:t>，得利的不只是他</w:t>
      </w:r>
      <w:r>
        <w:rPr>
          <w:rFonts w:ascii="宋体" w:eastAsia="宋体" w:hAnsi="宋体" w:cs="宋体" w:hint="eastAsia"/>
          <w:color w:val="333333"/>
          <w:sz w:val="24"/>
          <w:shd w:val="clear" w:color="auto" w:fill="F7EEE0"/>
        </w:rPr>
        <w:t>郗鉴</w:t>
      </w:r>
      <w:r>
        <w:rPr>
          <w:rFonts w:ascii="宋体" w:eastAsia="宋体" w:hAnsi="宋体" w:cs="宋体" w:hint="eastAsia"/>
          <w:color w:val="333333"/>
          <w:sz w:val="24"/>
          <w:shd w:val="clear" w:color="auto" w:fill="F7EEE0"/>
        </w:rPr>
        <w:t>自己，更是东晋司马氏政权。苏峻之乱平后，江左地区一个多甲子无内乱，</w:t>
      </w:r>
      <w:r>
        <w:rPr>
          <w:rFonts w:ascii="宋体" w:eastAsia="宋体" w:hAnsi="宋体" w:cs="宋体" w:hint="eastAsia"/>
          <w:color w:val="333333"/>
          <w:sz w:val="24"/>
          <w:shd w:val="clear" w:color="auto" w:fill="F7EEE0"/>
        </w:rPr>
        <w:t>郗鉴</w:t>
      </w:r>
      <w:r>
        <w:rPr>
          <w:rFonts w:ascii="宋体" w:eastAsia="宋体" w:hAnsi="宋体" w:cs="宋体" w:hint="eastAsia"/>
          <w:color w:val="333333"/>
          <w:sz w:val="24"/>
          <w:shd w:val="clear" w:color="auto" w:fill="F7EEE0"/>
        </w:rPr>
        <w:t>功不可没。正如王夫之所说“东晋之臣，可胜大臣之任者，其为</w:t>
      </w:r>
      <w:r>
        <w:rPr>
          <w:rFonts w:ascii="宋体" w:eastAsia="宋体" w:hAnsi="宋体" w:cs="宋体" w:hint="eastAsia"/>
          <w:color w:val="333333"/>
          <w:sz w:val="24"/>
          <w:shd w:val="clear" w:color="auto" w:fill="F7EEE0"/>
        </w:rPr>
        <w:t>郗</w:t>
      </w:r>
      <w:r>
        <w:rPr>
          <w:rFonts w:ascii="宋体" w:eastAsia="宋体" w:hAnsi="宋体" w:cs="宋体" w:hint="eastAsia"/>
          <w:color w:val="333333"/>
          <w:sz w:val="24"/>
          <w:shd w:val="clear" w:color="auto" w:fill="F7EEE0"/>
        </w:rPr>
        <w:t>公乎”</w:t>
      </w:r>
      <w:r>
        <w:rPr>
          <w:rStyle w:val="a4"/>
          <w:rFonts w:ascii="宋体" w:eastAsia="宋体" w:hAnsi="宋体" w:cs="宋体" w:hint="eastAsia"/>
          <w:color w:val="333333"/>
          <w:sz w:val="24"/>
          <w:shd w:val="clear" w:color="auto" w:fill="F7EEE0"/>
        </w:rPr>
        <w:footnoteReference w:id="15"/>
      </w:r>
      <w:r>
        <w:rPr>
          <w:rFonts w:ascii="宋体" w:eastAsia="宋体" w:hAnsi="宋体" w:cs="宋体" w:hint="eastAsia"/>
          <w:color w:val="333333"/>
          <w:sz w:val="24"/>
          <w:shd w:val="clear" w:color="auto" w:fill="F7EEE0"/>
        </w:rPr>
        <w:t>.</w:t>
      </w:r>
    </w:p>
    <w:p w:rsidR="000D0154" w:rsidRDefault="003C0348">
      <w:pPr>
        <w:spacing w:line="300" w:lineRule="auto"/>
        <w:ind w:firstLine="480"/>
        <w:jc w:val="left"/>
        <w:rPr>
          <w:rFonts w:ascii="宋体" w:eastAsia="宋体" w:hAnsi="宋体" w:cs="宋体"/>
          <w:color w:val="333333"/>
          <w:sz w:val="24"/>
          <w:shd w:val="clear" w:color="auto" w:fill="F7EEE0"/>
        </w:rPr>
      </w:pPr>
      <w:r>
        <w:rPr>
          <w:rFonts w:ascii="宋体" w:eastAsia="宋体" w:hAnsi="宋体" w:cs="宋体" w:hint="eastAsia"/>
          <w:color w:val="333333"/>
          <w:sz w:val="24"/>
          <w:shd w:val="clear" w:color="auto" w:fill="F7EEE0"/>
        </w:rPr>
        <w:t>事实上，正是以</w:t>
      </w:r>
      <w:r>
        <w:rPr>
          <w:rFonts w:ascii="宋体" w:eastAsia="宋体" w:hAnsi="宋体" w:cs="宋体" w:hint="eastAsia"/>
          <w:color w:val="333333"/>
          <w:sz w:val="24"/>
          <w:shd w:val="clear" w:color="auto" w:fill="F7EEE0"/>
        </w:rPr>
        <w:t>郗鉴</w:t>
      </w:r>
      <w:r>
        <w:rPr>
          <w:rFonts w:ascii="宋体" w:eastAsia="宋体" w:hAnsi="宋体" w:cs="宋体" w:hint="eastAsia"/>
          <w:color w:val="333333"/>
          <w:sz w:val="24"/>
          <w:shd w:val="clear" w:color="auto" w:fill="F7EEE0"/>
        </w:rPr>
        <w:t>为首的一批流民集团的鼎力支持，东晋初年爆发的一系列动乱才得以平息，使司马氏在江左的统治得以巩固。同样，东晋内部士族之间的平衡与稳定，流民集团同样功不可没。但，流民阶层毕竟属于社会的底层，在社会等级森严、士庶分明的晋朝，流民集团乃至其统帅都备受统治阶层的歧视，在战乱过后，流民集团便陷于沉寂当中，这是历史的必然。活跃于两晋之际的流民阶层，对当时的政治格局产生了极大的影响，是当时时局变迁不可忽视的因素。</w:t>
      </w:r>
    </w:p>
    <w:p w:rsidR="000D0154" w:rsidRDefault="000D0154"/>
    <w:sectPr w:rsidR="000D0154" w:rsidSect="000D01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348" w:rsidRDefault="003C0348" w:rsidP="000D0154">
      <w:r>
        <w:separator/>
      </w:r>
    </w:p>
  </w:endnote>
  <w:endnote w:type="continuationSeparator" w:id="0">
    <w:p w:rsidR="003C0348" w:rsidRDefault="003C0348" w:rsidP="000D0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微软雅黑"/>
    <w:charset w:val="86"/>
    <w:family w:val="auto"/>
    <w:pitch w:val="default"/>
    <w:sig w:usb0="00000000"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348" w:rsidRDefault="003C0348" w:rsidP="000D0154">
      <w:r>
        <w:separator/>
      </w:r>
    </w:p>
  </w:footnote>
  <w:footnote w:type="continuationSeparator" w:id="0">
    <w:p w:rsidR="003C0348" w:rsidRDefault="003C0348" w:rsidP="000D0154">
      <w:r>
        <w:continuationSeparator/>
      </w:r>
    </w:p>
  </w:footnote>
  <w:footnote w:id="1">
    <w:p w:rsidR="000D0154" w:rsidRDefault="003C0348">
      <w:pPr>
        <w:pStyle w:val="a3"/>
      </w:pPr>
      <w:r>
        <w:rPr>
          <w:rStyle w:val="a4"/>
        </w:rPr>
        <w:footnoteRef/>
      </w:r>
      <w:r>
        <w:t xml:space="preserve"> </w:t>
      </w:r>
      <w:r>
        <w:rPr>
          <w:rFonts w:ascii="Arial" w:hAnsi="Arial" w:cs="Arial"/>
          <w:color w:val="333333"/>
          <w:szCs w:val="18"/>
          <w:shd w:val="clear" w:color="auto" w:fill="FFFFFF"/>
        </w:rPr>
        <w:t>《</w:t>
      </w:r>
      <w:r>
        <w:rPr>
          <w:rFonts w:ascii="Arial" w:hAnsi="Arial" w:cs="Arial" w:hint="eastAsia"/>
          <w:color w:val="333333"/>
          <w:szCs w:val="18"/>
          <w:shd w:val="clear" w:color="auto" w:fill="FFFFFF"/>
        </w:rPr>
        <w:t>晋书</w:t>
      </w:r>
      <w:r>
        <w:rPr>
          <w:rFonts w:ascii="Arial" w:hAnsi="Arial" w:cs="Arial"/>
          <w:color w:val="333333"/>
          <w:szCs w:val="18"/>
          <w:shd w:val="clear" w:color="auto" w:fill="FFFFFF"/>
        </w:rPr>
        <w:t>》</w:t>
      </w:r>
      <w:r>
        <w:rPr>
          <w:rFonts w:ascii="Arial" w:hAnsi="Arial" w:cs="Arial" w:hint="eastAsia"/>
          <w:color w:val="333333"/>
          <w:szCs w:val="18"/>
          <w:shd w:val="clear" w:color="auto" w:fill="FFFFFF"/>
        </w:rPr>
        <w:t>卷</w:t>
      </w:r>
      <w:r>
        <w:rPr>
          <w:rFonts w:ascii="Arial" w:hAnsi="Arial" w:cs="Arial" w:hint="eastAsia"/>
          <w:color w:val="333333"/>
          <w:szCs w:val="18"/>
          <w:shd w:val="clear" w:color="auto" w:fill="FFFFFF"/>
        </w:rPr>
        <w:t>109</w:t>
      </w:r>
      <w:r>
        <w:rPr>
          <w:rFonts w:ascii="Arial" w:hAnsi="Arial" w:cs="Arial"/>
          <w:color w:val="333333"/>
          <w:szCs w:val="18"/>
          <w:shd w:val="clear" w:color="auto" w:fill="FFFFFF"/>
        </w:rPr>
        <w:t>《</w:t>
      </w:r>
      <w:r>
        <w:rPr>
          <w:rFonts w:ascii="宋体" w:eastAsia="宋体" w:hAnsi="宋体" w:cs="宋体" w:hint="eastAsia"/>
          <w:color w:val="333333"/>
          <w:szCs w:val="18"/>
          <w:shd w:val="clear" w:color="auto" w:fill="F7EEE0"/>
        </w:rPr>
        <w:t>慕容皝传</w:t>
      </w:r>
      <w:r>
        <w:rPr>
          <w:rFonts w:ascii="Arial" w:hAnsi="Arial" w:cs="Arial"/>
          <w:color w:val="333333"/>
          <w:szCs w:val="18"/>
          <w:shd w:val="clear" w:color="auto" w:fill="FFFFFF"/>
        </w:rPr>
        <w:t>》</w:t>
      </w:r>
    </w:p>
  </w:footnote>
  <w:footnote w:id="2">
    <w:p w:rsidR="000D0154" w:rsidRDefault="003C0348">
      <w:pPr>
        <w:pStyle w:val="a3"/>
        <w:rPr>
          <w:szCs w:val="18"/>
        </w:rPr>
      </w:pPr>
      <w:r>
        <w:rPr>
          <w:rStyle w:val="a4"/>
        </w:rPr>
        <w:footnoteRef/>
      </w:r>
      <w:r>
        <w:t xml:space="preserve"> </w:t>
      </w:r>
      <w:r>
        <w:rPr>
          <w:rFonts w:hint="eastAsia"/>
          <w:szCs w:val="18"/>
        </w:rPr>
        <w:t>《徙戎论》江统</w:t>
      </w:r>
    </w:p>
  </w:footnote>
  <w:footnote w:id="3">
    <w:p w:rsidR="000D0154" w:rsidRDefault="003C0348">
      <w:pPr>
        <w:pStyle w:val="a3"/>
        <w:rPr>
          <w:szCs w:val="18"/>
        </w:rPr>
      </w:pPr>
      <w:r>
        <w:rPr>
          <w:rStyle w:val="a4"/>
          <w:szCs w:val="18"/>
        </w:rPr>
        <w:footnoteRef/>
      </w:r>
      <w:r>
        <w:rPr>
          <w:szCs w:val="18"/>
        </w:rPr>
        <w:t xml:space="preserve"> </w:t>
      </w:r>
      <w:r>
        <w:rPr>
          <w:rFonts w:hint="eastAsia"/>
          <w:szCs w:val="18"/>
        </w:rPr>
        <w:t>《宋书》卷</w:t>
      </w:r>
      <w:r>
        <w:rPr>
          <w:rFonts w:hint="eastAsia"/>
          <w:szCs w:val="18"/>
        </w:rPr>
        <w:t>35</w:t>
      </w:r>
      <w:r>
        <w:rPr>
          <w:rFonts w:hint="eastAsia"/>
          <w:szCs w:val="18"/>
        </w:rPr>
        <w:t>《州郡一》</w:t>
      </w:r>
    </w:p>
  </w:footnote>
  <w:footnote w:id="4">
    <w:p w:rsidR="000D0154" w:rsidRDefault="003C0348">
      <w:pPr>
        <w:pStyle w:val="a3"/>
        <w:rPr>
          <w:szCs w:val="18"/>
        </w:rPr>
      </w:pPr>
      <w:r>
        <w:rPr>
          <w:rStyle w:val="a4"/>
          <w:szCs w:val="18"/>
        </w:rPr>
        <w:footnoteRef/>
      </w:r>
      <w:r>
        <w:rPr>
          <w:szCs w:val="18"/>
        </w:rPr>
        <w:t xml:space="preserve"> </w:t>
      </w:r>
      <w:r>
        <w:rPr>
          <w:rFonts w:hint="eastAsia"/>
          <w:szCs w:val="18"/>
        </w:rPr>
        <w:t>《晋书》卷</w:t>
      </w:r>
      <w:r>
        <w:rPr>
          <w:rFonts w:hint="eastAsia"/>
          <w:szCs w:val="18"/>
        </w:rPr>
        <w:t>65</w:t>
      </w:r>
      <w:r>
        <w:rPr>
          <w:rFonts w:hint="eastAsia"/>
          <w:szCs w:val="18"/>
        </w:rPr>
        <w:t>《王导传》</w:t>
      </w:r>
    </w:p>
  </w:footnote>
  <w:footnote w:id="5">
    <w:p w:rsidR="000D0154" w:rsidRDefault="003C0348">
      <w:pPr>
        <w:pStyle w:val="a3"/>
        <w:rPr>
          <w:szCs w:val="18"/>
        </w:rPr>
      </w:pPr>
      <w:r>
        <w:rPr>
          <w:rStyle w:val="a4"/>
          <w:szCs w:val="18"/>
        </w:rPr>
        <w:footnoteRef/>
      </w:r>
      <w:r>
        <w:rPr>
          <w:szCs w:val="18"/>
        </w:rPr>
        <w:t xml:space="preserve"> </w:t>
      </w:r>
      <w:r>
        <w:rPr>
          <w:rFonts w:ascii="Arial" w:hAnsi="Arial" w:cs="Arial"/>
          <w:color w:val="333333"/>
          <w:szCs w:val="18"/>
          <w:shd w:val="clear" w:color="auto" w:fill="FFFFFF"/>
        </w:rPr>
        <w:t>《政论》崔实</w:t>
      </w:r>
    </w:p>
  </w:footnote>
  <w:footnote w:id="6">
    <w:p w:rsidR="000D0154" w:rsidRDefault="003C0348">
      <w:pPr>
        <w:pStyle w:val="a3"/>
        <w:rPr>
          <w:szCs w:val="18"/>
        </w:rPr>
      </w:pPr>
      <w:r>
        <w:rPr>
          <w:rStyle w:val="a4"/>
          <w:szCs w:val="18"/>
        </w:rPr>
        <w:footnoteRef/>
      </w:r>
      <w:r>
        <w:rPr>
          <w:szCs w:val="18"/>
        </w:rPr>
        <w:t xml:space="preserve"> </w:t>
      </w:r>
      <w:r>
        <w:rPr>
          <w:rFonts w:ascii="Arial" w:hAnsi="Arial" w:cs="Arial"/>
          <w:color w:val="333333"/>
          <w:szCs w:val="18"/>
          <w:shd w:val="clear" w:color="auto" w:fill="FFFFFF"/>
        </w:rPr>
        <w:t>《</w:t>
      </w:r>
      <w:r>
        <w:rPr>
          <w:rFonts w:ascii="Arial" w:hAnsi="Arial" w:cs="Arial" w:hint="eastAsia"/>
          <w:color w:val="333333"/>
          <w:szCs w:val="18"/>
          <w:shd w:val="clear" w:color="auto" w:fill="FFFFFF"/>
        </w:rPr>
        <w:t>晋书</w:t>
      </w:r>
      <w:r>
        <w:rPr>
          <w:rFonts w:ascii="Arial" w:hAnsi="Arial" w:cs="Arial"/>
          <w:color w:val="333333"/>
          <w:szCs w:val="18"/>
          <w:shd w:val="clear" w:color="auto" w:fill="FFFFFF"/>
        </w:rPr>
        <w:t>》</w:t>
      </w:r>
      <w:r>
        <w:rPr>
          <w:rFonts w:ascii="Arial" w:hAnsi="Arial" w:cs="Arial" w:hint="eastAsia"/>
          <w:color w:val="333333"/>
          <w:szCs w:val="18"/>
          <w:shd w:val="clear" w:color="auto" w:fill="FFFFFF"/>
        </w:rPr>
        <w:t>卷</w:t>
      </w:r>
      <w:r>
        <w:rPr>
          <w:rFonts w:ascii="Arial" w:hAnsi="Arial" w:cs="Arial" w:hint="eastAsia"/>
          <w:color w:val="333333"/>
          <w:szCs w:val="18"/>
          <w:shd w:val="clear" w:color="auto" w:fill="FFFFFF"/>
        </w:rPr>
        <w:t>100</w:t>
      </w:r>
      <w:r>
        <w:rPr>
          <w:rFonts w:ascii="Arial" w:hAnsi="Arial" w:cs="Arial"/>
          <w:color w:val="333333"/>
          <w:szCs w:val="18"/>
          <w:shd w:val="clear" w:color="auto" w:fill="FFFFFF"/>
        </w:rPr>
        <w:t>《</w:t>
      </w:r>
      <w:r>
        <w:rPr>
          <w:rFonts w:ascii="宋体" w:eastAsia="宋体" w:hAnsi="宋体" w:cs="宋体" w:hint="eastAsia"/>
          <w:color w:val="333333"/>
          <w:szCs w:val="18"/>
          <w:shd w:val="clear" w:color="auto" w:fill="F7EEE0"/>
        </w:rPr>
        <w:t>杜弢传</w:t>
      </w:r>
      <w:r>
        <w:rPr>
          <w:rFonts w:ascii="Arial" w:hAnsi="Arial" w:cs="Arial"/>
          <w:color w:val="333333"/>
          <w:szCs w:val="18"/>
          <w:shd w:val="clear" w:color="auto" w:fill="FFFFFF"/>
        </w:rPr>
        <w:t>》</w:t>
      </w:r>
    </w:p>
  </w:footnote>
  <w:footnote w:id="7">
    <w:p w:rsidR="000D0154" w:rsidRDefault="003C0348">
      <w:pPr>
        <w:pStyle w:val="a3"/>
        <w:rPr>
          <w:szCs w:val="18"/>
        </w:rPr>
      </w:pPr>
      <w:r>
        <w:rPr>
          <w:rStyle w:val="a4"/>
          <w:szCs w:val="18"/>
        </w:rPr>
        <w:footnoteRef/>
      </w:r>
      <w:r>
        <w:rPr>
          <w:szCs w:val="18"/>
        </w:rPr>
        <w:t xml:space="preserve"> </w:t>
      </w:r>
      <w:r>
        <w:rPr>
          <w:rFonts w:ascii="Arial" w:hAnsi="Arial" w:cs="Arial"/>
          <w:color w:val="333333"/>
          <w:szCs w:val="18"/>
          <w:shd w:val="clear" w:color="auto" w:fill="FFFFFF"/>
        </w:rPr>
        <w:t>《</w:t>
      </w:r>
      <w:r>
        <w:rPr>
          <w:rFonts w:ascii="Arial" w:hAnsi="Arial" w:cs="Arial" w:hint="eastAsia"/>
          <w:color w:val="333333"/>
          <w:szCs w:val="18"/>
          <w:shd w:val="clear" w:color="auto" w:fill="FFFFFF"/>
        </w:rPr>
        <w:t>晋书</w:t>
      </w:r>
      <w:r>
        <w:rPr>
          <w:rFonts w:ascii="Arial" w:hAnsi="Arial" w:cs="Arial"/>
          <w:color w:val="333333"/>
          <w:szCs w:val="18"/>
          <w:shd w:val="clear" w:color="auto" w:fill="FFFFFF"/>
        </w:rPr>
        <w:t>》</w:t>
      </w:r>
      <w:r>
        <w:rPr>
          <w:rFonts w:ascii="Arial" w:hAnsi="Arial" w:cs="Arial" w:hint="eastAsia"/>
          <w:color w:val="333333"/>
          <w:szCs w:val="18"/>
          <w:shd w:val="clear" w:color="auto" w:fill="FFFFFF"/>
        </w:rPr>
        <w:t>卷</w:t>
      </w:r>
      <w:r>
        <w:rPr>
          <w:rFonts w:ascii="Arial" w:hAnsi="Arial" w:cs="Arial" w:hint="eastAsia"/>
          <w:color w:val="333333"/>
          <w:szCs w:val="18"/>
          <w:shd w:val="clear" w:color="auto" w:fill="FFFFFF"/>
        </w:rPr>
        <w:t>100</w:t>
      </w:r>
      <w:r>
        <w:rPr>
          <w:rFonts w:ascii="Arial" w:hAnsi="Arial" w:cs="Arial"/>
          <w:color w:val="333333"/>
          <w:szCs w:val="18"/>
          <w:shd w:val="clear" w:color="auto" w:fill="FFFFFF"/>
        </w:rPr>
        <w:t>《</w:t>
      </w:r>
      <w:r>
        <w:rPr>
          <w:rFonts w:ascii="宋体" w:eastAsia="宋体" w:hAnsi="宋体" w:cs="宋体" w:hint="eastAsia"/>
          <w:color w:val="333333"/>
          <w:szCs w:val="18"/>
          <w:shd w:val="clear" w:color="auto" w:fill="F7EEE0"/>
        </w:rPr>
        <w:t>苏峻传</w:t>
      </w:r>
      <w:r>
        <w:rPr>
          <w:rFonts w:ascii="Arial" w:hAnsi="Arial" w:cs="Arial"/>
          <w:color w:val="333333"/>
          <w:szCs w:val="18"/>
          <w:shd w:val="clear" w:color="auto" w:fill="FFFFFF"/>
        </w:rPr>
        <w:t>》</w:t>
      </w:r>
    </w:p>
  </w:footnote>
  <w:footnote w:id="8">
    <w:p w:rsidR="000D0154" w:rsidRDefault="003C0348">
      <w:pPr>
        <w:pStyle w:val="a3"/>
      </w:pPr>
      <w:r>
        <w:rPr>
          <w:rStyle w:val="a4"/>
        </w:rPr>
        <w:footnoteRef/>
      </w:r>
      <w:r>
        <w:rPr>
          <w:rFonts w:ascii="Arial" w:hAnsi="Arial" w:cs="Arial"/>
          <w:color w:val="333333"/>
          <w:szCs w:val="18"/>
          <w:shd w:val="clear" w:color="auto" w:fill="FFFFFF"/>
        </w:rPr>
        <w:t>《</w:t>
      </w:r>
      <w:r>
        <w:rPr>
          <w:rFonts w:ascii="Arial" w:hAnsi="Arial" w:cs="Arial" w:hint="eastAsia"/>
          <w:color w:val="333333"/>
          <w:szCs w:val="18"/>
          <w:shd w:val="clear" w:color="auto" w:fill="FFFFFF"/>
        </w:rPr>
        <w:t>资治通鉴</w:t>
      </w:r>
      <w:r>
        <w:rPr>
          <w:rFonts w:ascii="Arial" w:hAnsi="Arial" w:cs="Arial"/>
          <w:color w:val="333333"/>
          <w:szCs w:val="18"/>
          <w:shd w:val="clear" w:color="auto" w:fill="FFFFFF"/>
        </w:rPr>
        <w:t>》</w:t>
      </w:r>
      <w:r>
        <w:rPr>
          <w:rFonts w:ascii="Arial" w:hAnsi="Arial" w:cs="Arial" w:hint="eastAsia"/>
          <w:color w:val="333333"/>
          <w:szCs w:val="18"/>
          <w:shd w:val="clear" w:color="auto" w:fill="FFFFFF"/>
        </w:rPr>
        <w:t>卷</w:t>
      </w:r>
      <w:r>
        <w:rPr>
          <w:rFonts w:ascii="Arial" w:hAnsi="Arial" w:cs="Arial" w:hint="eastAsia"/>
          <w:color w:val="333333"/>
          <w:szCs w:val="18"/>
          <w:shd w:val="clear" w:color="auto" w:fill="FFFFFF"/>
        </w:rPr>
        <w:t>85</w:t>
      </w:r>
      <w:r>
        <w:rPr>
          <w:rFonts w:ascii="Arial" w:hAnsi="Arial" w:cs="Arial"/>
          <w:color w:val="333333"/>
          <w:szCs w:val="18"/>
          <w:shd w:val="clear" w:color="auto" w:fill="FFFFFF"/>
        </w:rPr>
        <w:t>《</w:t>
      </w:r>
      <w:r>
        <w:rPr>
          <w:rFonts w:ascii="宋体" w:eastAsia="宋体" w:hAnsi="宋体" w:cs="宋体" w:hint="eastAsia"/>
          <w:color w:val="333333"/>
          <w:szCs w:val="18"/>
          <w:shd w:val="clear" w:color="auto" w:fill="F7EEE0"/>
        </w:rPr>
        <w:t>晋纪七</w:t>
      </w:r>
      <w:r>
        <w:rPr>
          <w:rFonts w:ascii="Arial" w:hAnsi="Arial" w:cs="Arial"/>
          <w:color w:val="333333"/>
          <w:szCs w:val="18"/>
          <w:shd w:val="clear" w:color="auto" w:fill="FFFFFF"/>
        </w:rPr>
        <w:t>》</w:t>
      </w:r>
      <w:r>
        <w:t xml:space="preserve"> </w:t>
      </w:r>
    </w:p>
  </w:footnote>
  <w:footnote w:id="9">
    <w:p w:rsidR="000D0154" w:rsidRDefault="003C0348">
      <w:pPr>
        <w:pStyle w:val="a3"/>
      </w:pPr>
      <w:r>
        <w:rPr>
          <w:rStyle w:val="a4"/>
        </w:rPr>
        <w:footnoteRef/>
      </w:r>
      <w:r>
        <w:rPr>
          <w:rFonts w:ascii="Arial" w:hAnsi="Arial" w:cs="Arial"/>
          <w:color w:val="333333"/>
          <w:szCs w:val="18"/>
          <w:shd w:val="clear" w:color="auto" w:fill="FFFFFF"/>
        </w:rPr>
        <w:t>《</w:t>
      </w:r>
      <w:r>
        <w:rPr>
          <w:rFonts w:ascii="Arial" w:hAnsi="Arial" w:cs="Arial" w:hint="eastAsia"/>
          <w:color w:val="333333"/>
          <w:szCs w:val="18"/>
          <w:shd w:val="clear" w:color="auto" w:fill="FFFFFF"/>
        </w:rPr>
        <w:t>晋书</w:t>
      </w:r>
      <w:r>
        <w:rPr>
          <w:rFonts w:ascii="Arial" w:hAnsi="Arial" w:cs="Arial"/>
          <w:color w:val="333333"/>
          <w:szCs w:val="18"/>
          <w:shd w:val="clear" w:color="auto" w:fill="FFFFFF"/>
        </w:rPr>
        <w:t>》</w:t>
      </w:r>
      <w:r>
        <w:rPr>
          <w:rFonts w:ascii="Arial" w:hAnsi="Arial" w:cs="Arial" w:hint="eastAsia"/>
          <w:color w:val="333333"/>
          <w:szCs w:val="18"/>
          <w:shd w:val="clear" w:color="auto" w:fill="FFFFFF"/>
        </w:rPr>
        <w:t>卷</w:t>
      </w:r>
      <w:r>
        <w:rPr>
          <w:rFonts w:ascii="Arial" w:hAnsi="Arial" w:cs="Arial" w:hint="eastAsia"/>
          <w:color w:val="333333"/>
          <w:szCs w:val="18"/>
          <w:shd w:val="clear" w:color="auto" w:fill="FFFFFF"/>
        </w:rPr>
        <w:t>51</w:t>
      </w:r>
      <w:r>
        <w:rPr>
          <w:rFonts w:ascii="Arial" w:hAnsi="Arial" w:cs="Arial"/>
          <w:color w:val="333333"/>
          <w:szCs w:val="18"/>
          <w:shd w:val="clear" w:color="auto" w:fill="FFFFFF"/>
        </w:rPr>
        <w:t>《</w:t>
      </w:r>
      <w:r>
        <w:rPr>
          <w:rFonts w:ascii="宋体" w:eastAsia="宋体" w:hAnsi="宋体" w:cs="宋体" w:hint="eastAsia"/>
          <w:color w:val="333333"/>
          <w:szCs w:val="18"/>
          <w:shd w:val="clear" w:color="auto" w:fill="F7EEE0"/>
        </w:rPr>
        <w:t>束皙传</w:t>
      </w:r>
      <w:r>
        <w:rPr>
          <w:rFonts w:ascii="Arial" w:hAnsi="Arial" w:cs="Arial"/>
          <w:color w:val="333333"/>
          <w:szCs w:val="18"/>
          <w:shd w:val="clear" w:color="auto" w:fill="FFFFFF"/>
        </w:rPr>
        <w:t>》</w:t>
      </w:r>
    </w:p>
  </w:footnote>
  <w:footnote w:id="10">
    <w:p w:rsidR="000D0154" w:rsidRDefault="003C0348">
      <w:pPr>
        <w:pStyle w:val="a3"/>
      </w:pPr>
      <w:r>
        <w:rPr>
          <w:rStyle w:val="a4"/>
        </w:rPr>
        <w:footnoteRef/>
      </w:r>
      <w:r>
        <w:t xml:space="preserve"> </w:t>
      </w:r>
      <w:r>
        <w:rPr>
          <w:rFonts w:ascii="Arial" w:hAnsi="Arial" w:cs="Arial"/>
          <w:color w:val="333333"/>
          <w:szCs w:val="18"/>
          <w:shd w:val="clear" w:color="auto" w:fill="FFFFFF"/>
        </w:rPr>
        <w:t>《</w:t>
      </w:r>
      <w:r>
        <w:rPr>
          <w:rFonts w:ascii="Arial" w:hAnsi="Arial" w:cs="Arial" w:hint="eastAsia"/>
          <w:color w:val="333333"/>
          <w:szCs w:val="18"/>
          <w:shd w:val="clear" w:color="auto" w:fill="FFFFFF"/>
        </w:rPr>
        <w:t>晋书</w:t>
      </w:r>
      <w:r>
        <w:rPr>
          <w:rFonts w:ascii="Arial" w:hAnsi="Arial" w:cs="Arial"/>
          <w:color w:val="333333"/>
          <w:szCs w:val="18"/>
          <w:shd w:val="clear" w:color="auto" w:fill="FFFFFF"/>
        </w:rPr>
        <w:t>》</w:t>
      </w:r>
      <w:r>
        <w:rPr>
          <w:rFonts w:ascii="Arial" w:hAnsi="Arial" w:cs="Arial" w:hint="eastAsia"/>
          <w:color w:val="333333"/>
          <w:szCs w:val="18"/>
          <w:shd w:val="clear" w:color="auto" w:fill="FFFFFF"/>
        </w:rPr>
        <w:t>卷</w:t>
      </w:r>
      <w:r>
        <w:rPr>
          <w:rFonts w:ascii="Arial" w:hAnsi="Arial" w:cs="Arial" w:hint="eastAsia"/>
          <w:color w:val="333333"/>
          <w:szCs w:val="18"/>
          <w:shd w:val="clear" w:color="auto" w:fill="FFFFFF"/>
        </w:rPr>
        <w:t>100</w:t>
      </w:r>
      <w:r>
        <w:rPr>
          <w:rFonts w:ascii="Arial" w:hAnsi="Arial" w:cs="Arial"/>
          <w:color w:val="333333"/>
          <w:szCs w:val="18"/>
          <w:shd w:val="clear" w:color="auto" w:fill="FFFFFF"/>
        </w:rPr>
        <w:t>《</w:t>
      </w:r>
      <w:r>
        <w:rPr>
          <w:rFonts w:ascii="宋体" w:eastAsia="宋体" w:hAnsi="宋体" w:cs="宋体" w:hint="eastAsia"/>
          <w:color w:val="333333"/>
          <w:szCs w:val="18"/>
          <w:shd w:val="clear" w:color="auto" w:fill="F7EEE0"/>
        </w:rPr>
        <w:t>王如传</w:t>
      </w:r>
      <w:r>
        <w:rPr>
          <w:rFonts w:ascii="Arial" w:hAnsi="Arial" w:cs="Arial"/>
          <w:color w:val="333333"/>
          <w:szCs w:val="18"/>
          <w:shd w:val="clear" w:color="auto" w:fill="FFFFFF"/>
        </w:rPr>
        <w:t>》</w:t>
      </w:r>
    </w:p>
  </w:footnote>
  <w:footnote w:id="11">
    <w:p w:rsidR="000D0154" w:rsidRDefault="003C0348">
      <w:pPr>
        <w:pStyle w:val="a3"/>
      </w:pPr>
      <w:r>
        <w:rPr>
          <w:rStyle w:val="a4"/>
        </w:rPr>
        <w:footnoteRef/>
      </w:r>
      <w:r>
        <w:t xml:space="preserve"> </w:t>
      </w:r>
      <w:r>
        <w:rPr>
          <w:rFonts w:ascii="Arial" w:hAnsi="Arial" w:cs="Arial"/>
          <w:color w:val="333333"/>
          <w:szCs w:val="18"/>
          <w:shd w:val="clear" w:color="auto" w:fill="FFFFFF"/>
        </w:rPr>
        <w:t>《</w:t>
      </w:r>
      <w:r>
        <w:rPr>
          <w:rFonts w:ascii="Arial" w:hAnsi="Arial" w:cs="Arial" w:hint="eastAsia"/>
          <w:color w:val="333333"/>
          <w:szCs w:val="18"/>
          <w:shd w:val="clear" w:color="auto" w:fill="FFFFFF"/>
        </w:rPr>
        <w:t>晋书</w:t>
      </w:r>
      <w:r>
        <w:rPr>
          <w:rFonts w:ascii="Arial" w:hAnsi="Arial" w:cs="Arial"/>
          <w:color w:val="333333"/>
          <w:szCs w:val="18"/>
          <w:shd w:val="clear" w:color="auto" w:fill="FFFFFF"/>
        </w:rPr>
        <w:t>》</w:t>
      </w:r>
      <w:r>
        <w:rPr>
          <w:rFonts w:ascii="Arial" w:hAnsi="Arial" w:cs="Arial" w:hint="eastAsia"/>
          <w:color w:val="333333"/>
          <w:szCs w:val="18"/>
          <w:shd w:val="clear" w:color="auto" w:fill="FFFFFF"/>
        </w:rPr>
        <w:t>卷</w:t>
      </w:r>
      <w:r>
        <w:rPr>
          <w:rFonts w:ascii="Arial" w:hAnsi="Arial" w:cs="Arial" w:hint="eastAsia"/>
          <w:color w:val="333333"/>
          <w:szCs w:val="18"/>
          <w:shd w:val="clear" w:color="auto" w:fill="FFFFFF"/>
        </w:rPr>
        <w:t>66</w:t>
      </w:r>
      <w:r>
        <w:rPr>
          <w:rFonts w:ascii="Arial" w:hAnsi="Arial" w:cs="Arial"/>
          <w:color w:val="333333"/>
          <w:szCs w:val="18"/>
          <w:shd w:val="clear" w:color="auto" w:fill="FFFFFF"/>
        </w:rPr>
        <w:t>《</w:t>
      </w:r>
      <w:r>
        <w:rPr>
          <w:rFonts w:ascii="宋体" w:eastAsia="宋体" w:hAnsi="宋体" w:cs="宋体" w:hint="eastAsia"/>
          <w:color w:val="333333"/>
          <w:szCs w:val="18"/>
          <w:shd w:val="clear" w:color="auto" w:fill="F7EEE0"/>
        </w:rPr>
        <w:t>刘弘传</w:t>
      </w:r>
      <w:r>
        <w:rPr>
          <w:rFonts w:ascii="Arial" w:hAnsi="Arial" w:cs="Arial"/>
          <w:color w:val="333333"/>
          <w:szCs w:val="18"/>
          <w:shd w:val="clear" w:color="auto" w:fill="FFFFFF"/>
        </w:rPr>
        <w:t>》</w:t>
      </w:r>
    </w:p>
  </w:footnote>
  <w:footnote w:id="12">
    <w:p w:rsidR="000D0154" w:rsidRDefault="003C0348">
      <w:pPr>
        <w:pStyle w:val="a3"/>
      </w:pPr>
      <w:r>
        <w:rPr>
          <w:rStyle w:val="a4"/>
        </w:rPr>
        <w:footnoteRef/>
      </w:r>
      <w:r>
        <w:t xml:space="preserve"> </w:t>
      </w:r>
      <w:r>
        <w:rPr>
          <w:rFonts w:ascii="宋体" w:eastAsia="宋体" w:hAnsi="宋体" w:cs="宋体" w:hint="eastAsia"/>
          <w:color w:val="333333"/>
          <w:szCs w:val="18"/>
          <w:shd w:val="clear" w:color="auto" w:fill="FFFFFF"/>
        </w:rPr>
        <w:t>《晋书》卷</w:t>
      </w:r>
      <w:r>
        <w:rPr>
          <w:rFonts w:ascii="宋体" w:eastAsia="宋体" w:hAnsi="宋体" w:cs="宋体" w:hint="eastAsia"/>
          <w:color w:val="333333"/>
          <w:szCs w:val="18"/>
          <w:shd w:val="clear" w:color="auto" w:fill="FFFFFF"/>
        </w:rPr>
        <w:t>109</w:t>
      </w:r>
      <w:r>
        <w:rPr>
          <w:rFonts w:ascii="宋体" w:eastAsia="宋体" w:hAnsi="宋体" w:cs="宋体" w:hint="eastAsia"/>
          <w:color w:val="333333"/>
          <w:szCs w:val="18"/>
          <w:shd w:val="clear" w:color="auto" w:fill="FFFFFF"/>
        </w:rPr>
        <w:t>《</w:t>
      </w:r>
      <w:r>
        <w:rPr>
          <w:rFonts w:ascii="宋体" w:eastAsia="宋体" w:hAnsi="宋体" w:cs="宋体" w:hint="eastAsia"/>
          <w:color w:val="333333"/>
          <w:szCs w:val="18"/>
          <w:shd w:val="clear" w:color="auto" w:fill="F7EEE0"/>
        </w:rPr>
        <w:t>慕容皝传</w:t>
      </w:r>
      <w:r>
        <w:rPr>
          <w:rFonts w:ascii="Arial" w:hAnsi="Arial" w:cs="Arial"/>
          <w:color w:val="333333"/>
          <w:szCs w:val="18"/>
          <w:shd w:val="clear" w:color="auto" w:fill="FFFFFF"/>
        </w:rPr>
        <w:t>》</w:t>
      </w:r>
    </w:p>
  </w:footnote>
  <w:footnote w:id="13">
    <w:p w:rsidR="000D0154" w:rsidRDefault="003C0348">
      <w:pPr>
        <w:pStyle w:val="a3"/>
        <w:rPr>
          <w:rFonts w:ascii="宋体" w:eastAsia="宋体" w:hAnsi="宋体" w:cs="宋体"/>
          <w:szCs w:val="18"/>
        </w:rPr>
      </w:pPr>
      <w:r>
        <w:rPr>
          <w:rStyle w:val="a4"/>
        </w:rPr>
        <w:footnoteRef/>
      </w:r>
      <w:r>
        <w:t xml:space="preserve"> </w:t>
      </w:r>
      <w:r>
        <w:rPr>
          <w:rFonts w:ascii="宋体" w:eastAsia="宋体" w:hAnsi="宋体" w:cs="宋体" w:hint="eastAsia"/>
          <w:szCs w:val="18"/>
        </w:rPr>
        <w:t>张帆</w:t>
      </w:r>
      <w:r>
        <w:rPr>
          <w:rFonts w:ascii="宋体" w:eastAsia="宋体" w:hAnsi="宋体" w:cs="宋体" w:hint="eastAsia"/>
          <w:szCs w:val="18"/>
        </w:rPr>
        <w:t>:</w:t>
      </w:r>
      <w:r>
        <w:rPr>
          <w:rFonts w:ascii="宋体" w:eastAsia="宋体" w:hAnsi="宋体" w:cs="宋体" w:hint="eastAsia"/>
          <w:szCs w:val="18"/>
        </w:rPr>
        <w:t>《中国古代简史》</w:t>
      </w:r>
      <w:r>
        <w:rPr>
          <w:rFonts w:ascii="宋体" w:eastAsia="宋体" w:hAnsi="宋体" w:cs="宋体" w:hint="eastAsia"/>
          <w:szCs w:val="18"/>
        </w:rPr>
        <w:t>.</w:t>
      </w:r>
      <w:r>
        <w:rPr>
          <w:rFonts w:ascii="宋体" w:eastAsia="宋体" w:hAnsi="宋体" w:cs="宋体" w:hint="eastAsia"/>
          <w:szCs w:val="18"/>
        </w:rPr>
        <w:t>北京大学出版社</w:t>
      </w:r>
      <w:r>
        <w:rPr>
          <w:rFonts w:ascii="宋体" w:eastAsia="宋体" w:hAnsi="宋体" w:cs="宋体" w:hint="eastAsia"/>
          <w:szCs w:val="18"/>
        </w:rPr>
        <w:t>.2001</w:t>
      </w:r>
      <w:r>
        <w:rPr>
          <w:rFonts w:ascii="宋体" w:eastAsia="宋体" w:hAnsi="宋体" w:cs="宋体" w:hint="eastAsia"/>
          <w:szCs w:val="18"/>
        </w:rPr>
        <w:t>版</w:t>
      </w:r>
    </w:p>
  </w:footnote>
  <w:footnote w:id="14">
    <w:p w:rsidR="000D0154" w:rsidRDefault="003C0348">
      <w:pPr>
        <w:pStyle w:val="a3"/>
      </w:pPr>
      <w:r>
        <w:rPr>
          <w:rStyle w:val="a4"/>
        </w:rPr>
        <w:footnoteRef/>
      </w:r>
      <w:r>
        <w:t xml:space="preserve"> </w:t>
      </w:r>
      <w:r>
        <w:rPr>
          <w:rFonts w:ascii="宋体" w:eastAsia="宋体" w:hAnsi="宋体" w:cs="宋体" w:hint="eastAsia"/>
          <w:color w:val="333333"/>
          <w:szCs w:val="18"/>
          <w:shd w:val="clear" w:color="auto" w:fill="FFFFFF"/>
        </w:rPr>
        <w:t>《晋书》卷</w:t>
      </w:r>
      <w:r>
        <w:rPr>
          <w:rFonts w:ascii="宋体" w:eastAsia="宋体" w:hAnsi="宋体" w:cs="宋体" w:hint="eastAsia"/>
          <w:color w:val="333333"/>
          <w:szCs w:val="18"/>
          <w:shd w:val="clear" w:color="auto" w:fill="FFFFFF"/>
        </w:rPr>
        <w:t>67</w:t>
      </w:r>
      <w:r>
        <w:rPr>
          <w:rFonts w:ascii="宋体" w:eastAsia="宋体" w:hAnsi="宋体" w:cs="宋体" w:hint="eastAsia"/>
          <w:color w:val="333333"/>
          <w:szCs w:val="18"/>
          <w:shd w:val="clear" w:color="auto" w:fill="FFFFFF"/>
        </w:rPr>
        <w:t>《</w:t>
      </w:r>
      <w:r>
        <w:rPr>
          <w:rFonts w:hint="eastAsia"/>
          <w:szCs w:val="18"/>
        </w:rPr>
        <w:t>郗鉴</w:t>
      </w:r>
      <w:r>
        <w:rPr>
          <w:rFonts w:ascii="宋体" w:eastAsia="宋体" w:hAnsi="宋体" w:cs="宋体" w:hint="eastAsia"/>
          <w:color w:val="333333"/>
          <w:szCs w:val="18"/>
          <w:shd w:val="clear" w:color="auto" w:fill="F7EEE0"/>
        </w:rPr>
        <w:t>传</w:t>
      </w:r>
      <w:r>
        <w:rPr>
          <w:rFonts w:ascii="Arial" w:hAnsi="Arial" w:cs="Arial"/>
          <w:color w:val="333333"/>
          <w:szCs w:val="18"/>
          <w:shd w:val="clear" w:color="auto" w:fill="FFFFFF"/>
        </w:rPr>
        <w:t>》</w:t>
      </w:r>
    </w:p>
  </w:footnote>
  <w:footnote w:id="15">
    <w:p w:rsidR="000D0154" w:rsidRDefault="003C0348">
      <w:pPr>
        <w:pStyle w:val="a3"/>
      </w:pPr>
      <w:r>
        <w:rPr>
          <w:rStyle w:val="a4"/>
        </w:rPr>
        <w:footnoteRef/>
      </w:r>
      <w:r>
        <w:t xml:space="preserve"> </w:t>
      </w:r>
      <w:r>
        <w:rPr>
          <w:rFonts w:ascii="宋体" w:eastAsia="宋体" w:hAnsi="宋体" w:cs="宋体" w:hint="eastAsia"/>
          <w:color w:val="333333"/>
          <w:szCs w:val="18"/>
          <w:shd w:val="clear" w:color="auto" w:fill="FFFFFF"/>
        </w:rPr>
        <w:t>《</w:t>
      </w:r>
      <w:r>
        <w:rPr>
          <w:rFonts w:ascii="宋体" w:eastAsia="宋体" w:hAnsi="宋体" w:cs="宋体" w:hint="eastAsia"/>
          <w:color w:val="333333"/>
          <w:szCs w:val="18"/>
          <w:shd w:val="clear" w:color="auto" w:fill="FFFFFF"/>
        </w:rPr>
        <w:t>读通鉴论</w:t>
      </w:r>
      <w:r>
        <w:rPr>
          <w:rFonts w:ascii="宋体" w:eastAsia="宋体" w:hAnsi="宋体" w:cs="宋体" w:hint="eastAsia"/>
          <w:color w:val="333333"/>
          <w:szCs w:val="18"/>
          <w:shd w:val="clear" w:color="auto" w:fill="FFFFFF"/>
        </w:rPr>
        <w:t>》</w:t>
      </w:r>
      <w:r>
        <w:rPr>
          <w:rFonts w:ascii="宋体" w:eastAsia="宋体" w:hAnsi="宋体" w:cs="宋体" w:hint="eastAsia"/>
          <w:color w:val="333333"/>
          <w:szCs w:val="18"/>
          <w:shd w:val="clear" w:color="auto" w:fill="FFFFFF"/>
        </w:rPr>
        <w:t>卷</w:t>
      </w:r>
      <w:r>
        <w:rPr>
          <w:rFonts w:ascii="宋体" w:eastAsia="宋体" w:hAnsi="宋体" w:cs="宋体" w:hint="eastAsia"/>
          <w:color w:val="333333"/>
          <w:szCs w:val="18"/>
          <w:shd w:val="clear" w:color="auto" w:fill="FFFFFF"/>
        </w:rPr>
        <w:t>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1421D"/>
    <w:multiLevelType w:val="singleLevel"/>
    <w:tmpl w:val="5861421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D0154"/>
    <w:rsid w:val="000D0154"/>
    <w:rsid w:val="003C0348"/>
    <w:rsid w:val="006F7759"/>
    <w:rsid w:val="211E7DD4"/>
    <w:rsid w:val="31433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1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qFormat/>
    <w:rsid w:val="000D0154"/>
    <w:pPr>
      <w:snapToGrid w:val="0"/>
      <w:jc w:val="left"/>
    </w:pPr>
    <w:rPr>
      <w:sz w:val="18"/>
    </w:rPr>
  </w:style>
  <w:style w:type="character" w:styleId="a4">
    <w:name w:val="footnote reference"/>
    <w:basedOn w:val="a0"/>
    <w:qFormat/>
    <w:rsid w:val="000D0154"/>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6EF91-9EC3-40AB-B14F-3FF0F71F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2</cp:revision>
  <dcterms:created xsi:type="dcterms:W3CDTF">2017-10-16T08:22:00Z</dcterms:created>
  <dcterms:modified xsi:type="dcterms:W3CDTF">2017-10-16T08:22:00Z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