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42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 xml:space="preserve"> 复制血清高敏C反应蛋白浓度与高血压病的临床相关性分析</w:t>
      </w:r>
    </w:p>
    <w:p>
      <w:pPr>
        <w:spacing w:before="0" w:after="0" w:line="240" w:lineRule="auto"/>
        <w:ind w:left="0" w:right="0" w:firstLine="42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赵娟 高海峰</w:t>
      </w:r>
    </w:p>
    <w:p>
      <w:pPr>
        <w:spacing w:before="0" w:after="0" w:line="240" w:lineRule="auto"/>
        <w:ind w:left="0" w:right="0" w:firstLine="42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垡头社区卫生服务中心 100023</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b/>
          <w:color w:val="auto"/>
          <w:spacing w:val="0"/>
          <w:position w:val="0"/>
          <w:sz w:val="21"/>
          <w:shd w:val="clear" w:fill="auto"/>
        </w:rPr>
        <w:t>【摘要】：</w:t>
      </w:r>
      <w:bookmarkStart w:id="0" w:name="_GoBack"/>
      <w:r>
        <w:rPr>
          <w:rFonts w:ascii="宋体" w:hAnsi="宋体" w:eastAsia="宋体" w:cs="宋体"/>
          <w:color w:val="auto"/>
          <w:spacing w:val="0"/>
          <w:position w:val="0"/>
          <w:sz w:val="21"/>
          <w:shd w:val="clear" w:fill="auto"/>
        </w:rPr>
        <w:t>目的：分析血清高敏C反应蛋白浓度（hs-crp）与高血压病的临床相关性。方法：选取2015年1月-2015年6月300例日常门诊高血压患者作为调查对象，按随机抽样的方法每3个患者抽取一人，设计的抽样间隔是3，一共抽取了共100名诊室高血压患者。同时选取100例健康体检者作为对照组。检测两组hs-CRP浓度，将两组患者检测结果进行对照分析，并将高血压患者根据高血压病分级进行组间对照比较，观察血清hs-CRP与高血压之间的相关性。结果：高血压组与健康对照组hs-CRP浓度为（6.86±0.78）mg/L和（3.05±0.34）mg/L，高血压组显著高于健康对照组，差异有统计学意义（P＜0.05）；高血压组中有轻度高血压11例、中度高血压23例、重度高血压16例，hs-CRP浓度分别为（5.23±0.31）mg/L、（5.89±0.45）mg/L、（7.14±0.89）mg/L，说明随着患者血压的升高，hs-CRP浓度越高，提示炎症反应可能参与高血压疾病的发生。结论：血清高敏C反应蛋白浓度与高血压有较高的相关性，需要加强对其的重视。</w:t>
      </w:r>
    </w:p>
    <w:bookmarkEnd w:id="0"/>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【关键词】：高敏C反应蛋白；高血压；炎症反应</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C反应蛋白（C-reactive protein，CRP）是一种高敏感炎症反应标记物，主要在肝脏合成。随着现代医学的不断研究，已经证实C反应蛋白是动脉粥样硬化以及冠心病的高危因素，并且与急性冠状动脉综合征有明显的相关性，且在冠心病、脑卒中的风险评估以及预后评价中具有重要的作用</w:t>
      </w:r>
      <w:r>
        <w:rPr>
          <w:rFonts w:ascii="宋体" w:hAnsi="宋体" w:eastAsia="宋体" w:cs="宋体"/>
          <w:color w:val="auto"/>
          <w:spacing w:val="0"/>
          <w:position w:val="0"/>
          <w:sz w:val="21"/>
          <w:shd w:val="clear" w:fill="auto"/>
          <w:vertAlign w:val="superscript"/>
        </w:rPr>
        <w:t>[1]</w:t>
      </w:r>
      <w:r>
        <w:rPr>
          <w:rFonts w:ascii="宋体" w:hAnsi="宋体" w:eastAsia="宋体" w:cs="宋体"/>
          <w:color w:val="auto"/>
          <w:spacing w:val="0"/>
          <w:position w:val="0"/>
          <w:sz w:val="21"/>
          <w:shd w:val="clear" w:fill="auto"/>
        </w:rPr>
        <w:t>。文章主要针对血清高敏C反应蛋白浓度与高血压疾病的临床相关性展开分析与研究，报道如下。</w:t>
      </w:r>
    </w:p>
    <w:p>
      <w:pPr>
        <w:spacing w:before="0" w:after="0" w:line="240" w:lineRule="auto"/>
        <w:ind w:left="0" w:right="0" w:firstLine="42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1.资料与方法</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1.1临床资料</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选取2015年1月-2015年6月300例日常门诊高血压患者作为调查对象，按随机抽样的方法每3个患者抽取一人，设计的抽样间隔是3，一共抽取了共100名诊室高血压患者。同时选取100例健康体检者作为对照组。高血压组100例患者中有男性52例、女性48例；年龄为52~73岁，平均（56.2±3.4）岁。健康对照组100名健康体检者中有男性50例、女性50例；年龄为49~70岁，平均（55.3±2.9）岁。本次研究观察排除心功能异常、继发性高血压、急性感染、癌症、全身性疾病患者。本次研究观察经医院伦理委员会批准且所有患者及家属对本次研究观察知情并能配合随访调查。两组患者在性别、年龄方面的差异无统计学意义，具有可比性。</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1.2方法</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检测两组hs-CRP浓度，将两组患者检测结果进行对照分析，并将高血压患者根据高血压病分级进行组间对照比较，观察血清hs-CRP与高血压之间的相关性。检查前一天晚上10点后禁食，直至检查当日清晨空腹取10mL静脉血，hs-CRP检查使用仪器为国产全自动CRP检测仪，本次研究检查均有医院同一位检验人员完成。</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1.3观察指标</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高血压分级标准参照《美国高血压防治指南JNC7》的相关标准</w:t>
      </w:r>
      <w:r>
        <w:rPr>
          <w:rFonts w:ascii="宋体" w:hAnsi="宋体" w:eastAsia="宋体" w:cs="宋体"/>
          <w:color w:val="auto"/>
          <w:spacing w:val="0"/>
          <w:position w:val="0"/>
          <w:sz w:val="21"/>
          <w:shd w:val="clear" w:fill="auto"/>
          <w:vertAlign w:val="superscript"/>
        </w:rPr>
        <w:t>[2]</w:t>
      </w:r>
      <w:r>
        <w:rPr>
          <w:rFonts w:ascii="宋体" w:hAnsi="宋体" w:eastAsia="宋体" w:cs="宋体"/>
          <w:color w:val="auto"/>
          <w:spacing w:val="0"/>
          <w:position w:val="0"/>
          <w:sz w:val="21"/>
          <w:shd w:val="clear" w:fill="auto"/>
        </w:rPr>
        <w:t>：正常血压：收缩压＜120mmHg和舒张压＜80mmHg；高血压前期：收缩压为140~159mmHg或舒张压为90~99mmHg；Ⅰ期高血压：收缩压为160~179mmHg或舒张压为100~109mmHg；Ⅱ期高血压：收缩压为≥180mmHg或舒张压为≥110mmHg。</w:t>
      </w:r>
    </w:p>
    <w:p>
      <w:pPr>
        <w:spacing w:before="0" w:after="0" w:line="240" w:lineRule="auto"/>
        <w:ind w:left="0" w:right="0" w:firstLine="420"/>
        <w:jc w:val="both"/>
        <w:rPr>
          <w:rFonts w:ascii="宋体" w:hAnsi="宋体" w:eastAsia="宋体" w:cs="宋体"/>
          <w:b/>
          <w:color w:val="auto"/>
          <w:spacing w:val="0"/>
          <w:position w:val="0"/>
          <w:sz w:val="21"/>
          <w:shd w:val="clear" w:fill="auto"/>
        </w:rPr>
      </w:pPr>
      <w:r>
        <w:rPr>
          <w:rFonts w:ascii="宋体" w:hAnsi="宋体" w:eastAsia="宋体" w:cs="宋体"/>
          <w:color w:val="auto"/>
          <w:spacing w:val="0"/>
          <w:position w:val="0"/>
          <w:sz w:val="21"/>
          <w:shd w:val="clear" w:fill="auto"/>
        </w:rPr>
        <w:t>1.4统计学分析</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采用SPSS16.0统计学软件进行统计学分析，计量资料用(</w:t>
      </w:r>
      <w:r>
        <w:pict>
          <v:shape id="rectole0000000000" o:spid="_x0000_s1026" o:spt="75" type="#_x0000_t75" style="height:13.15pt;width:11.1pt;" o:ole="t" filled="f" o:preferrelative="t" coordsize="21600,21600">
            <v:path/>
            <v:fill on="f" focussize="0,0"/>
            <v:stroke/>
            <v:imagedata r:id="rId5" o:title=""/>
            <o:lock v:ext="edit"/>
            <w10:wrap type="none"/>
            <w10:anchorlock/>
          </v:shape>
          <o:OLEObject Type="Embed" ProgID="" ShapeID="rectole0000000000" DrawAspect="Content" ObjectID="_1468075725" r:id="rId4">
            <o:LockedField>false</o:LockedField>
          </o:OLEObject>
        </w:pict>
      </w:r>
      <w:r>
        <w:rPr>
          <w:rFonts w:ascii="宋体" w:hAnsi="宋体" w:eastAsia="宋体" w:cs="宋体"/>
          <w:color w:val="auto"/>
          <w:spacing w:val="0"/>
          <w:position w:val="0"/>
          <w:sz w:val="21"/>
          <w:shd w:val="clear" w:fill="auto"/>
        </w:rPr>
        <w:t>±s)表示，组间差异、组内差异采用t值检验，计数资料比较采用X</w:t>
      </w:r>
      <w:r>
        <w:rPr>
          <w:rFonts w:ascii="宋体" w:hAnsi="宋体" w:eastAsia="宋体" w:cs="宋体"/>
          <w:color w:val="auto"/>
          <w:spacing w:val="0"/>
          <w:position w:val="0"/>
          <w:sz w:val="21"/>
          <w:shd w:val="clear" w:fill="auto"/>
          <w:vertAlign w:val="superscript"/>
        </w:rPr>
        <w:t>2</w:t>
      </w:r>
      <w:r>
        <w:rPr>
          <w:rFonts w:ascii="宋体" w:hAnsi="宋体" w:eastAsia="宋体" w:cs="宋体"/>
          <w:color w:val="auto"/>
          <w:spacing w:val="0"/>
          <w:position w:val="0"/>
          <w:sz w:val="21"/>
          <w:shd w:val="clear" w:fill="auto"/>
        </w:rPr>
        <w:t>值检验 ，P＜0.05时为差异有统计学意义。</w:t>
      </w:r>
    </w:p>
    <w:p>
      <w:pPr>
        <w:numPr>
          <w:ilvl w:val="0"/>
          <w:numId w:val="1"/>
        </w:numPr>
        <w:spacing w:before="0" w:after="0" w:line="240" w:lineRule="auto"/>
        <w:ind w:left="0" w:right="0" w:firstLine="42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结果</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2.1两组hs-CRP浓度</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高血压组与健康对照组hs-CRP浓度为（6.86±0.78）mg/L和（3.05±0.34）mg/L，高血压组显著高于健康对照组，差异有统计学意义（P＜0.05），见表1。</w:t>
      </w:r>
    </w:p>
    <w:p>
      <w:pPr>
        <w:spacing w:before="0" w:after="0" w:line="240" w:lineRule="auto"/>
        <w:ind w:left="0" w:right="0" w:firstLine="42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表1 两组hs-CRP浓度</w:t>
      </w:r>
    </w:p>
    <w:tbl>
      <w:tblPr>
        <w:tblStyle w:val="3"/>
        <w:tblW w:w="8522" w:type="dxa"/>
        <w:tblInd w:w="0" w:type="dxa"/>
        <w:tblLayout w:type="fixed"/>
        <w:tblCellMar>
          <w:top w:w="0" w:type="dxa"/>
          <w:left w:w="108" w:type="dxa"/>
          <w:bottom w:w="0" w:type="dxa"/>
          <w:right w:w="108" w:type="dxa"/>
        </w:tblCellMar>
      </w:tblPr>
      <w:tblGrid>
        <w:gridCol w:w="2131"/>
        <w:gridCol w:w="2131"/>
        <w:gridCol w:w="2130"/>
        <w:gridCol w:w="2130"/>
      </w:tblGrid>
      <w:tr>
        <w:tblPrEx>
          <w:tblLayout w:type="fixed"/>
          <w:tblCellMar>
            <w:top w:w="0" w:type="dxa"/>
            <w:left w:w="108" w:type="dxa"/>
            <w:bottom w:w="0" w:type="dxa"/>
            <w:right w:w="108" w:type="dxa"/>
          </w:tblCellMar>
        </w:tblPrEx>
        <w:trPr>
          <w:trHeight w:val="1" w:hRule="atLeast"/>
        </w:trPr>
        <w:tc>
          <w:tcPr>
            <w:tcW w:w="2131"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组别</w:t>
            </w:r>
          </w:p>
        </w:tc>
        <w:tc>
          <w:tcPr>
            <w:tcW w:w="2131"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例数</w:t>
            </w:r>
          </w:p>
        </w:tc>
        <w:tc>
          <w:tcPr>
            <w:tcW w:w="2130"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hs-CRP浓度</w:t>
            </w:r>
          </w:p>
        </w:tc>
        <w:tc>
          <w:tcPr>
            <w:tcW w:w="2130"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血糖</w:t>
            </w:r>
          </w:p>
        </w:tc>
      </w:tr>
      <w:tr>
        <w:tblPrEx>
          <w:tblLayout w:type="fixed"/>
          <w:tblCellMar>
            <w:top w:w="0" w:type="dxa"/>
            <w:left w:w="108" w:type="dxa"/>
            <w:bottom w:w="0" w:type="dxa"/>
            <w:right w:w="108" w:type="dxa"/>
          </w:tblCellMar>
        </w:tblPrEx>
        <w:trPr>
          <w:trHeight w:val="1" w:hRule="atLeast"/>
        </w:trPr>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高血压组</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100</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6.86±0.78</w:t>
            </w:r>
            <w:r>
              <w:rPr>
                <w:rFonts w:ascii="宋体" w:hAnsi="宋体" w:eastAsia="宋体" w:cs="宋体"/>
                <w:color w:val="auto"/>
                <w:spacing w:val="0"/>
                <w:position w:val="0"/>
                <w:sz w:val="21"/>
                <w:shd w:val="clear" w:fill="auto"/>
                <w:vertAlign w:val="superscript"/>
              </w:rPr>
              <w:t>a</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135.6±12.6</w:t>
            </w:r>
          </w:p>
        </w:tc>
      </w:tr>
      <w:tr>
        <w:tblPrEx>
          <w:tblLayout w:type="fixed"/>
          <w:tblCellMar>
            <w:top w:w="0" w:type="dxa"/>
            <w:left w:w="108" w:type="dxa"/>
            <w:bottom w:w="0" w:type="dxa"/>
            <w:right w:w="108" w:type="dxa"/>
          </w:tblCellMar>
        </w:tblPrEx>
        <w:trPr>
          <w:trHeight w:val="1" w:hRule="atLeast"/>
        </w:trPr>
        <w:tc>
          <w:tcPr>
            <w:tcW w:w="2131"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健康对照组</w:t>
            </w:r>
          </w:p>
        </w:tc>
        <w:tc>
          <w:tcPr>
            <w:tcW w:w="2131"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100</w:t>
            </w:r>
          </w:p>
        </w:tc>
        <w:tc>
          <w:tcPr>
            <w:tcW w:w="2130"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3.05±0.34</w:t>
            </w:r>
          </w:p>
        </w:tc>
        <w:tc>
          <w:tcPr>
            <w:tcW w:w="2130"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95.1±8.6</w:t>
            </w:r>
          </w:p>
        </w:tc>
      </w:tr>
    </w:tbl>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（注：与健康对照组相比，</w:t>
      </w:r>
      <w:r>
        <w:rPr>
          <w:rFonts w:ascii="宋体" w:hAnsi="宋体" w:eastAsia="宋体" w:cs="宋体"/>
          <w:color w:val="auto"/>
          <w:spacing w:val="0"/>
          <w:position w:val="0"/>
          <w:sz w:val="21"/>
          <w:shd w:val="clear" w:fill="auto"/>
          <w:vertAlign w:val="superscript"/>
        </w:rPr>
        <w:t>a</w:t>
      </w:r>
      <w:r>
        <w:rPr>
          <w:rFonts w:ascii="宋体" w:hAnsi="宋体" w:eastAsia="宋体" w:cs="宋体"/>
          <w:color w:val="auto"/>
          <w:spacing w:val="0"/>
          <w:position w:val="0"/>
          <w:sz w:val="21"/>
          <w:shd w:val="clear" w:fill="auto"/>
        </w:rPr>
        <w:t>P＜0.05。）</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2.2高血压组患者的hs-CRP浓度</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如表2所示，随着患者血压的升高，hs-CRP浓度、血糖越高，提示炎症反应、高糖血症可能参与高血压疾病的发生。</w:t>
      </w:r>
    </w:p>
    <w:p>
      <w:pPr>
        <w:spacing w:before="0" w:after="0" w:line="240" w:lineRule="auto"/>
        <w:ind w:left="0" w:right="0" w:firstLine="42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表2 不同程度高血压患者的hs-CRP浓度</w:t>
      </w:r>
    </w:p>
    <w:tbl>
      <w:tblPr>
        <w:tblStyle w:val="3"/>
        <w:tblW w:w="8522" w:type="dxa"/>
        <w:tblInd w:w="0" w:type="dxa"/>
        <w:tblLayout w:type="fixed"/>
        <w:tblCellMar>
          <w:top w:w="0" w:type="dxa"/>
          <w:left w:w="108" w:type="dxa"/>
          <w:bottom w:w="0" w:type="dxa"/>
          <w:right w:w="108" w:type="dxa"/>
        </w:tblCellMar>
      </w:tblPr>
      <w:tblGrid>
        <w:gridCol w:w="2131"/>
        <w:gridCol w:w="2131"/>
        <w:gridCol w:w="2130"/>
        <w:gridCol w:w="2130"/>
      </w:tblGrid>
      <w:tr>
        <w:tblPrEx>
          <w:tblLayout w:type="fixed"/>
          <w:tblCellMar>
            <w:top w:w="0" w:type="dxa"/>
            <w:left w:w="108" w:type="dxa"/>
            <w:bottom w:w="0" w:type="dxa"/>
            <w:right w:w="108" w:type="dxa"/>
          </w:tblCellMar>
        </w:tblPrEx>
        <w:trPr>
          <w:trHeight w:val="1" w:hRule="atLeast"/>
        </w:trPr>
        <w:tc>
          <w:tcPr>
            <w:tcW w:w="2131"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分型</w:t>
            </w:r>
          </w:p>
        </w:tc>
        <w:tc>
          <w:tcPr>
            <w:tcW w:w="2131"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例数</w:t>
            </w:r>
          </w:p>
        </w:tc>
        <w:tc>
          <w:tcPr>
            <w:tcW w:w="2130"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hs-CRP浓度</w:t>
            </w:r>
          </w:p>
        </w:tc>
        <w:tc>
          <w:tcPr>
            <w:tcW w:w="2130"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血糖</w:t>
            </w:r>
          </w:p>
        </w:tc>
      </w:tr>
      <w:tr>
        <w:tblPrEx>
          <w:tblLayout w:type="fixed"/>
          <w:tblCellMar>
            <w:top w:w="0" w:type="dxa"/>
            <w:left w:w="108" w:type="dxa"/>
            <w:bottom w:w="0" w:type="dxa"/>
            <w:right w:w="108" w:type="dxa"/>
          </w:tblCellMar>
        </w:tblPrEx>
        <w:trPr>
          <w:trHeight w:val="1" w:hRule="atLeast"/>
        </w:trPr>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高血压前期</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11</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5.23±0.31</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128.4±7.6</w:t>
            </w:r>
          </w:p>
        </w:tc>
      </w:tr>
      <w:tr>
        <w:tblPrEx>
          <w:tblLayout w:type="fixed"/>
          <w:tblCellMar>
            <w:top w:w="0" w:type="dxa"/>
            <w:left w:w="108" w:type="dxa"/>
            <w:bottom w:w="0" w:type="dxa"/>
            <w:right w:w="108" w:type="dxa"/>
          </w:tblCellMar>
        </w:tblPrEx>
        <w:trPr>
          <w:trHeight w:val="1" w:hRule="atLeast"/>
        </w:trPr>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Ⅰ期高血压</w:t>
            </w:r>
          </w:p>
        </w:tc>
        <w:tc>
          <w:tcPr>
            <w:tcW w:w="21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23</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5.89±0.45</w:t>
            </w:r>
          </w:p>
        </w:tc>
        <w:tc>
          <w:tcPr>
            <w:tcW w:w="21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135.6±10.5</w:t>
            </w:r>
          </w:p>
        </w:tc>
      </w:tr>
      <w:tr>
        <w:tblPrEx>
          <w:tblLayout w:type="fixed"/>
          <w:tblCellMar>
            <w:top w:w="0" w:type="dxa"/>
            <w:left w:w="108" w:type="dxa"/>
            <w:bottom w:w="0" w:type="dxa"/>
            <w:right w:w="108" w:type="dxa"/>
          </w:tblCellMar>
        </w:tblPrEx>
        <w:trPr>
          <w:trHeight w:val="1" w:hRule="atLeast"/>
        </w:trPr>
        <w:tc>
          <w:tcPr>
            <w:tcW w:w="2131"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Ⅱ期高血压</w:t>
            </w:r>
          </w:p>
        </w:tc>
        <w:tc>
          <w:tcPr>
            <w:tcW w:w="2131"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16</w:t>
            </w:r>
          </w:p>
        </w:tc>
        <w:tc>
          <w:tcPr>
            <w:tcW w:w="2130"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7.14±0.89</w:t>
            </w:r>
            <w:r>
              <w:rPr>
                <w:rFonts w:ascii="宋体" w:hAnsi="宋体" w:eastAsia="宋体" w:cs="宋体"/>
                <w:color w:val="auto"/>
                <w:spacing w:val="0"/>
                <w:position w:val="0"/>
                <w:sz w:val="21"/>
                <w:shd w:val="clear" w:fill="auto"/>
                <w:vertAlign w:val="superscript"/>
              </w:rPr>
              <w:t>a</w:t>
            </w:r>
          </w:p>
        </w:tc>
        <w:tc>
          <w:tcPr>
            <w:tcW w:w="2130"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143.6±13.6</w:t>
            </w:r>
            <w:r>
              <w:rPr>
                <w:rFonts w:ascii="宋体" w:hAnsi="宋体" w:eastAsia="宋体" w:cs="宋体"/>
                <w:color w:val="auto"/>
                <w:spacing w:val="0"/>
                <w:position w:val="0"/>
                <w:sz w:val="21"/>
                <w:shd w:val="clear" w:fill="auto"/>
                <w:vertAlign w:val="superscript"/>
              </w:rPr>
              <w:t>a</w:t>
            </w:r>
          </w:p>
        </w:tc>
      </w:tr>
    </w:tbl>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（注：与健康对照组相比，</w:t>
      </w:r>
      <w:r>
        <w:rPr>
          <w:rFonts w:ascii="宋体" w:hAnsi="宋体" w:eastAsia="宋体" w:cs="宋体"/>
          <w:color w:val="auto"/>
          <w:spacing w:val="0"/>
          <w:position w:val="0"/>
          <w:sz w:val="21"/>
          <w:shd w:val="clear" w:fill="auto"/>
          <w:vertAlign w:val="superscript"/>
        </w:rPr>
        <w:t>a</w:t>
      </w:r>
      <w:r>
        <w:rPr>
          <w:rFonts w:ascii="宋体" w:hAnsi="宋体" w:eastAsia="宋体" w:cs="宋体"/>
          <w:color w:val="auto"/>
          <w:spacing w:val="0"/>
          <w:position w:val="0"/>
          <w:sz w:val="21"/>
          <w:shd w:val="clear" w:fill="auto"/>
        </w:rPr>
        <w:t>P＜0.05。）</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b/>
          <w:color w:val="auto"/>
          <w:spacing w:val="0"/>
          <w:position w:val="0"/>
          <w:sz w:val="21"/>
          <w:shd w:val="clear" w:fill="auto"/>
        </w:rPr>
        <w:t>3.讨论</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C反应蛋白虽然对炎症反应比较敏感，但非炎症反应的特异性标志物，其主要由肝脏合成，正常情况下血清中的C反应蛋白含量较低，当机体出现风湿热、急性炎症、恶性肿瘤、类风湿性关节炎、外伤等疾病时，血清中的C反应蛋白浓度会迅速上升</w:t>
      </w:r>
      <w:r>
        <w:rPr>
          <w:rFonts w:ascii="宋体" w:hAnsi="宋体" w:eastAsia="宋体" w:cs="宋体"/>
          <w:color w:val="auto"/>
          <w:spacing w:val="0"/>
          <w:position w:val="0"/>
          <w:sz w:val="21"/>
          <w:shd w:val="clear" w:fill="auto"/>
          <w:vertAlign w:val="superscript"/>
        </w:rPr>
        <w:t>[3]</w:t>
      </w:r>
      <w:r>
        <w:rPr>
          <w:rFonts w:ascii="宋体" w:hAnsi="宋体" w:eastAsia="宋体" w:cs="宋体"/>
          <w:color w:val="auto"/>
          <w:spacing w:val="0"/>
          <w:position w:val="0"/>
          <w:sz w:val="21"/>
          <w:shd w:val="clear" w:fill="auto"/>
        </w:rPr>
        <w:t>。在本世纪初，国外学者提出C反应蛋白可能与高血压发生机制有一定的相关性，是高血压疾病的独立危险因素。此后，我国逐步针对C反应蛋白与高血压病之间的关系展开了探索与研究。</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hs-CRP与高血压疾病有明显的相关性，主要可能有几种情况：①hs-CRP直接或间接参与全身性炎症反应，导致血管内皮细胞受损，致使血管压力增大；②高水平hs-CRP可导致血管内皮细胞增生，从而导致血管壁增厚，致使动脉粥样硬化；③炎症反应造成白细胞氧化应激反应增强，导致超氧离子施放过多，从而导致血管舒张功能受到影响</w:t>
      </w:r>
      <w:r>
        <w:rPr>
          <w:rFonts w:ascii="宋体" w:hAnsi="宋体" w:eastAsia="宋体" w:cs="宋体"/>
          <w:color w:val="auto"/>
          <w:spacing w:val="0"/>
          <w:position w:val="0"/>
          <w:sz w:val="21"/>
          <w:shd w:val="clear" w:fill="auto"/>
          <w:vertAlign w:val="superscript"/>
        </w:rPr>
        <w:t>[4]</w:t>
      </w:r>
      <w:r>
        <w:rPr>
          <w:rFonts w:ascii="宋体" w:hAnsi="宋体" w:eastAsia="宋体" w:cs="宋体"/>
          <w:color w:val="auto"/>
          <w:spacing w:val="0"/>
          <w:position w:val="0"/>
          <w:sz w:val="21"/>
          <w:shd w:val="clear" w:fill="auto"/>
        </w:rPr>
        <w:t>。</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相关文献通过研究发现，高血压患者血清高敏C反应蛋白浓度显著高于健康者，这与本次研究观察的结果一致</w:t>
      </w:r>
      <w:r>
        <w:rPr>
          <w:rFonts w:ascii="宋体" w:hAnsi="宋体" w:eastAsia="宋体" w:cs="宋体"/>
          <w:color w:val="auto"/>
          <w:spacing w:val="0"/>
          <w:position w:val="0"/>
          <w:sz w:val="21"/>
          <w:shd w:val="clear" w:fill="auto"/>
          <w:vertAlign w:val="superscript"/>
        </w:rPr>
        <w:t>[5]</w:t>
      </w:r>
      <w:r>
        <w:rPr>
          <w:rFonts w:ascii="宋体" w:hAnsi="宋体" w:eastAsia="宋体" w:cs="宋体"/>
          <w:color w:val="auto"/>
          <w:spacing w:val="0"/>
          <w:position w:val="0"/>
          <w:sz w:val="21"/>
          <w:shd w:val="clear" w:fill="auto"/>
        </w:rPr>
        <w:t>。并且本次研究通过将高血压组患者进行高血压分级进行组内对照比较，发现重度高血压患者hs-CRP浓度显著高于轻度、中毒高血压患者，差异有统计学意义（P＜0.05），说明随着患者血压的升高，hs-CRP浓度、血糖越高，提示炎症反应、高糖血症以及高脂血症可能参与高血压疾病的发生。</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参考文献</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[1]吴险峰.血清高敏C反应蛋白浓度与高血压病的相关性探讨[J].中外健康文摘,2012,09(17):47-48.</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[2]周永,牛建清,吴寿岭等.氢氯噻嗪对高血压患者血清高敏C-反应蛋白浓度的影响[J].中国综合临床,2013,22(11):966-968.</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[3]吴寿岭,高竟生,郝冰等.血清高敏C反应蛋白浓度与高血压病的相关性研究[J].中华心血管病杂志,2013,31(12):917-920.</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[4]Onitilo,A.A.,Engel,J.M.,Stankowski,R.V. et al.High-sensitivity C-reactive protein (hs-CRP) as a biomarker for trastuzumab-induced cardiotoxicity in HER2-positive early-stage breast cancer: A pilot study[J].Breast cancer research and treatment,2012,134(1):291-298.</w:t>
      </w:r>
    </w:p>
    <w:p>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[5]Eriksson,A.L.,Movérare-Skrtic,S.,Ljunggren,?. et al.High-Sensitivity CRP is an independent risk factor for all fractures and vertebral fractures in elderly men: The MrOS Sweden study[J].Journal of bone and mineral research: the official journal of the American Society for Bone and Mineral Research,2014,29(2):418-423.</w:t>
      </w:r>
    </w:p>
    <w:p>
      <w:pPr>
        <w:spacing w:before="0" w:after="0" w:line="240" w:lineRule="auto"/>
        <w:ind w:left="0" w:right="0" w:firstLine="420"/>
        <w:jc w:val="both"/>
        <w:rPr>
          <w:rFonts w:ascii="宋体" w:hAnsi="宋体" w:eastAsia="宋体" w:cs="宋体"/>
          <w:color w:val="auto"/>
          <w:spacing w:val="0"/>
          <w:position w:val="0"/>
          <w:sz w:val="21"/>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68FE"/>
    <w:multiLevelType w:val="singleLevel"/>
    <w:tmpl w:val="59E468FE"/>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D6D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2017-10-16T08:06:27Z</dcterms:created>
  <dc:creator>Administrator</dc:creator>
  <cp:lastModifiedBy>Administrator</cp:lastModifiedBy>
  <dcterms:modified xsi:type="dcterms:W3CDTF">2017-10-16T08:15:41Z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